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A1195" w14:textId="5E0696DE" w:rsidR="00B4378A" w:rsidRPr="00BD7FB4" w:rsidRDefault="008C1248" w:rsidP="00F25CC7">
      <w:r>
        <w:br w:type="textWrapping" w:clear="all"/>
      </w:r>
    </w:p>
    <w:p w14:paraId="14614A30" w14:textId="13D73D8C" w:rsidR="00B4378A" w:rsidRPr="00BD7FB4" w:rsidRDefault="00B4378A" w:rsidP="00F25CC7"/>
    <w:p w14:paraId="6FD96A15" w14:textId="77777777" w:rsidR="00B4378A" w:rsidRPr="00BD7FB4" w:rsidRDefault="00B4378A" w:rsidP="00F25CC7"/>
    <w:p w14:paraId="17D23E84" w14:textId="77777777" w:rsidR="008529BB" w:rsidRPr="00BD7FB4" w:rsidRDefault="008529BB" w:rsidP="00F25CC7"/>
    <w:p w14:paraId="76A5A363" w14:textId="77777777" w:rsidR="008529BB" w:rsidRPr="00BD7FB4" w:rsidRDefault="008529BB" w:rsidP="00F25CC7"/>
    <w:p w14:paraId="68B0156F" w14:textId="77777777" w:rsidR="00FD7567" w:rsidRPr="00BD7FB4" w:rsidRDefault="00FD7567" w:rsidP="00F25CC7"/>
    <w:p w14:paraId="39202867" w14:textId="77777777" w:rsidR="00FD7567" w:rsidRPr="00BD7FB4" w:rsidRDefault="00FD7567" w:rsidP="00F25CC7"/>
    <w:p w14:paraId="2A6DA082" w14:textId="77777777" w:rsidR="00FD7567" w:rsidRPr="00BD7FB4" w:rsidRDefault="00FD7567" w:rsidP="00F25CC7"/>
    <w:p w14:paraId="1778EB19" w14:textId="3D2BA653" w:rsidR="00FD7567" w:rsidRPr="00BD7FB4" w:rsidRDefault="008C1248" w:rsidP="00F25CC7">
      <w:r w:rsidRPr="00BD7FB4">
        <w:rPr>
          <w:noProof/>
          <w:lang w:eastAsia="en-GB"/>
        </w:rPr>
        <mc:AlternateContent>
          <mc:Choice Requires="wps">
            <w:drawing>
              <wp:anchor distT="0" distB="0" distL="114300" distR="114300" simplePos="0" relativeHeight="251658240" behindDoc="0" locked="0" layoutInCell="1" allowOverlap="1" wp14:anchorId="6023B950" wp14:editId="3F9329E8">
                <wp:simplePos x="0" y="0"/>
                <wp:positionH relativeFrom="margin">
                  <wp:align>left</wp:align>
                </wp:positionH>
                <wp:positionV relativeFrom="page">
                  <wp:posOffset>3040380</wp:posOffset>
                </wp:positionV>
                <wp:extent cx="6371590" cy="2324100"/>
                <wp:effectExtent l="0" t="0" r="10160" b="0"/>
                <wp:wrapNone/>
                <wp:docPr id="2" name="Text Box 1"/>
                <wp:cNvGraphicFramePr/>
                <a:graphic xmlns:a="http://schemas.openxmlformats.org/drawingml/2006/main">
                  <a:graphicData uri="http://schemas.microsoft.com/office/word/2010/wordprocessingShape">
                    <wps:wsp>
                      <wps:cNvSpPr txBox="1"/>
                      <wps:spPr>
                        <a:xfrm>
                          <a:off x="0" y="0"/>
                          <a:ext cx="6371590" cy="2324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6F10CB24" w:rsidR="0075616C" w:rsidRPr="00BD7FB4" w:rsidRDefault="00234254" w:rsidP="00CC7841">
                                <w:pPr>
                                  <w:pStyle w:val="FrontpageTitle"/>
                                  <w:ind w:left="720" w:hanging="720"/>
                                  <w:rPr>
                                    <w:sz w:val="72"/>
                                    <w:szCs w:val="72"/>
                                  </w:rPr>
                                </w:pPr>
                                <w:r>
                                  <w:rPr>
                                    <w:sz w:val="72"/>
                                    <w:szCs w:val="72"/>
                                  </w:rPr>
                                  <w:t>National Registry for Imaging (NIR)</w:t>
                                </w:r>
                              </w:p>
                            </w:sdtContent>
                          </w:sdt>
                          <w:p w14:paraId="58748B5D" w14:textId="43F7B0FB" w:rsidR="0075616C" w:rsidRPr="00BD7FB4" w:rsidRDefault="00B1310A" w:rsidP="0059281A">
                            <w:pPr>
                              <w:pStyle w:val="Frontpagesubhead"/>
                            </w:pPr>
                            <w:r w:rsidRPr="00BD7FB4">
                              <w:t>Clinical Safety Case Report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3B950" id="_x0000_t202" coordsize="21600,21600" o:spt="202" path="m,l,21600r21600,l21600,xe">
                <v:stroke joinstyle="miter"/>
                <v:path gradientshapeok="t" o:connecttype="rect"/>
              </v:shapetype>
              <v:shape id="Text Box 1" o:spid="_x0000_s1026" type="#_x0000_t202" style="position:absolute;margin-left:0;margin-top:239.4pt;width:501.7pt;height:183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" filled="f" stroked="f" strokeweight=".5pt">
                <v:textbox inset="0,0,0,0">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6F10CB24" w:rsidR="0075616C" w:rsidRPr="00BD7FB4" w:rsidRDefault="00234254" w:rsidP="00CC7841">
                          <w:pPr>
                            <w:pStyle w:val="FrontpageTitle"/>
                            <w:ind w:left="720" w:hanging="720"/>
                            <w:rPr>
                              <w:sz w:val="72"/>
                              <w:szCs w:val="72"/>
                            </w:rPr>
                          </w:pPr>
                          <w:r>
                            <w:rPr>
                              <w:sz w:val="72"/>
                              <w:szCs w:val="72"/>
                            </w:rPr>
                            <w:t>National Registry for Imaging (NIR)</w:t>
                          </w:r>
                        </w:p>
                      </w:sdtContent>
                    </w:sdt>
                    <w:p w14:paraId="58748B5D" w14:textId="43F7B0FB" w:rsidR="0075616C" w:rsidRPr="00BD7FB4" w:rsidRDefault="00B1310A" w:rsidP="0059281A">
                      <w:pPr>
                        <w:pStyle w:val="Frontpagesubhead"/>
                      </w:pPr>
                      <w:r w:rsidRPr="00BD7FB4">
                        <w:t>Clinical Safety Case Report</w:t>
                      </w:r>
                    </w:p>
                  </w:txbxContent>
                </v:textbox>
                <w10:wrap anchorx="margin" anchory="page"/>
              </v:shape>
            </w:pict>
          </mc:Fallback>
        </mc:AlternateContent>
      </w:r>
    </w:p>
    <w:p w14:paraId="3DEAA89D" w14:textId="77777777" w:rsidR="00FD7567" w:rsidRPr="00BD7FB4" w:rsidRDefault="00FD7567" w:rsidP="00F25CC7"/>
    <w:p w14:paraId="2C94B636" w14:textId="77777777" w:rsidR="00FD7567" w:rsidRPr="00BD7FB4" w:rsidRDefault="00FD7567" w:rsidP="00F25CC7"/>
    <w:p w14:paraId="24357DEC" w14:textId="77777777" w:rsidR="008529BB" w:rsidRPr="00BD7FB4" w:rsidRDefault="008529BB" w:rsidP="00F25CC7"/>
    <w:p w14:paraId="4EFCBCE6" w14:textId="77777777" w:rsidR="008529BB" w:rsidRPr="00BD7FB4" w:rsidRDefault="008529BB" w:rsidP="00F25CC7"/>
    <w:p w14:paraId="5F156E4E" w14:textId="61957162" w:rsidR="008529BB" w:rsidRPr="00BD7FB4" w:rsidRDefault="008529BB" w:rsidP="00F25CC7"/>
    <w:p w14:paraId="23DC2C03" w14:textId="77777777" w:rsidR="008529BB" w:rsidRPr="00BD7FB4" w:rsidRDefault="008529BB" w:rsidP="00F25CC7"/>
    <w:p w14:paraId="6EB09AC3" w14:textId="77777777" w:rsidR="008529BB" w:rsidRPr="00BD7FB4" w:rsidRDefault="008529BB" w:rsidP="00F25CC7"/>
    <w:p w14:paraId="6CFCC4E9" w14:textId="77777777" w:rsidR="008529BB" w:rsidRPr="00BD7FB4" w:rsidRDefault="008529BB" w:rsidP="00F25CC7"/>
    <w:p w14:paraId="03D458A6" w14:textId="77777777" w:rsidR="008529BB" w:rsidRPr="00BD7FB4" w:rsidRDefault="008529BB" w:rsidP="00F25CC7"/>
    <w:p w14:paraId="7A73E7E7" w14:textId="77777777" w:rsidR="008529BB" w:rsidRPr="00BD7FB4" w:rsidRDefault="008529BB" w:rsidP="00F25CC7"/>
    <w:p w14:paraId="1B40A8BD" w14:textId="77777777" w:rsidR="008529BB" w:rsidRPr="00BD7FB4" w:rsidRDefault="008529BB" w:rsidP="00F25CC7"/>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B4378A" w:rsidRPr="00BD7FB4" w14:paraId="3DAFC875" w14:textId="77777777" w:rsidTr="00175953">
        <w:trPr>
          <w:trHeight w:val="340"/>
        </w:trPr>
        <w:tc>
          <w:tcPr>
            <w:tcW w:w="5000" w:type="pct"/>
            <w:gridSpan w:val="4"/>
          </w:tcPr>
          <w:p w14:paraId="02C7951A" w14:textId="342A083B" w:rsidR="00B4378A" w:rsidRPr="00175953" w:rsidRDefault="00B4378A" w:rsidP="001949F6">
            <w:pPr>
              <w:pStyle w:val="TableHeader"/>
            </w:pPr>
            <w:r w:rsidRPr="00175953">
              <w:t xml:space="preserve">Document filename: </w:t>
            </w:r>
            <w:r w:rsidR="00175953" w:rsidRPr="00175953">
              <w:t>NIR CSCR DCB0129</w:t>
            </w:r>
          </w:p>
        </w:tc>
      </w:tr>
      <w:tr w:rsidR="00B4378A" w:rsidRPr="00BD7FB4" w14:paraId="21FF4697" w14:textId="77777777" w:rsidTr="1121671F">
        <w:trPr>
          <w:trHeight w:val="170"/>
        </w:trPr>
        <w:tc>
          <w:tcPr>
            <w:tcW w:w="1319" w:type="pct"/>
          </w:tcPr>
          <w:p w14:paraId="1BAA0B52" w14:textId="77777777" w:rsidR="00B4378A" w:rsidRPr="00BD7FB4" w:rsidRDefault="00B4378A" w:rsidP="001949F6">
            <w:pPr>
              <w:pStyle w:val="TableHeader"/>
            </w:pPr>
            <w:r w:rsidRPr="00BD7FB4">
              <w:t>Directorate / Programme</w:t>
            </w:r>
          </w:p>
        </w:tc>
        <w:tc>
          <w:tcPr>
            <w:tcW w:w="1688" w:type="pct"/>
            <w:tcBorders>
              <w:right w:val="single" w:sz="4" w:space="0" w:color="B9B9B9"/>
            </w:tcBorders>
          </w:tcPr>
          <w:p w14:paraId="658118F6" w14:textId="4D8F16C9" w:rsidR="00B4378A" w:rsidRPr="00BD7FB4" w:rsidRDefault="009144E6" w:rsidP="001949F6">
            <w:pPr>
              <w:pStyle w:val="TableText"/>
            </w:pPr>
            <w:r w:rsidRPr="009144E6">
              <w:t>NIR Programme Team</w:t>
            </w:r>
          </w:p>
        </w:tc>
        <w:tc>
          <w:tcPr>
            <w:tcW w:w="1055" w:type="pct"/>
            <w:tcBorders>
              <w:left w:val="single" w:sz="4" w:space="0" w:color="B9B9B9"/>
            </w:tcBorders>
          </w:tcPr>
          <w:p w14:paraId="24A77CD8" w14:textId="77777777" w:rsidR="00B4378A" w:rsidRPr="00BD7FB4" w:rsidRDefault="00B4378A" w:rsidP="001949F6">
            <w:pPr>
              <w:pStyle w:val="TableHeader"/>
            </w:pPr>
            <w:r w:rsidRPr="00BD7FB4">
              <w:t>Project</w:t>
            </w:r>
          </w:p>
        </w:tc>
        <w:tc>
          <w:tcPr>
            <w:tcW w:w="938" w:type="pct"/>
          </w:tcPr>
          <w:p w14:paraId="486D3E63" w14:textId="6162EE3D" w:rsidR="00B4378A" w:rsidRPr="00BD7FB4" w:rsidRDefault="00491957" w:rsidP="00491957">
            <w:pPr>
              <w:pStyle w:val="TableText"/>
              <w:ind w:left="-39"/>
            </w:pPr>
            <w:r>
              <w:t>National Image Registry</w:t>
            </w:r>
          </w:p>
        </w:tc>
      </w:tr>
      <w:tr w:rsidR="00B4378A" w:rsidRPr="00BD7FB4" w14:paraId="45C2660B" w14:textId="77777777" w:rsidTr="1121671F">
        <w:trPr>
          <w:trHeight w:val="170"/>
        </w:trPr>
        <w:tc>
          <w:tcPr>
            <w:tcW w:w="3007" w:type="pct"/>
            <w:gridSpan w:val="2"/>
            <w:tcBorders>
              <w:right w:val="single" w:sz="4" w:space="0" w:color="B9B9B9"/>
            </w:tcBorders>
          </w:tcPr>
          <w:p w14:paraId="5943D48A" w14:textId="77777777" w:rsidR="00B4378A" w:rsidRPr="00BD7FB4" w:rsidRDefault="00B4378A" w:rsidP="001949F6">
            <w:pPr>
              <w:pStyle w:val="TableHeader"/>
            </w:pPr>
            <w:r w:rsidRPr="00BD7FB4">
              <w:t>Document Reference</w:t>
            </w:r>
          </w:p>
        </w:tc>
        <w:tc>
          <w:tcPr>
            <w:tcW w:w="1993" w:type="pct"/>
            <w:gridSpan w:val="2"/>
            <w:tcBorders>
              <w:left w:val="single" w:sz="4" w:space="0" w:color="B9B9B9"/>
            </w:tcBorders>
          </w:tcPr>
          <w:p w14:paraId="1A3D8921" w14:textId="77777777" w:rsidR="00B4378A" w:rsidRPr="00BD7FB4" w:rsidRDefault="00B4378A" w:rsidP="001949F6">
            <w:pPr>
              <w:pStyle w:val="TableHeader"/>
            </w:pPr>
          </w:p>
        </w:tc>
      </w:tr>
      <w:tr w:rsidR="00B4378A" w:rsidRPr="00BD7FB4" w14:paraId="1CDB5D91" w14:textId="77777777" w:rsidTr="00175953">
        <w:trPr>
          <w:trHeight w:val="145"/>
        </w:trPr>
        <w:tc>
          <w:tcPr>
            <w:tcW w:w="1319" w:type="pct"/>
          </w:tcPr>
          <w:p w14:paraId="4DD19088" w14:textId="77777777" w:rsidR="00B4378A" w:rsidRPr="00BD7FB4" w:rsidRDefault="00B4378A" w:rsidP="001949F6">
            <w:pPr>
              <w:pStyle w:val="TableHeader"/>
            </w:pPr>
            <w:r w:rsidRPr="00BD7FB4">
              <w:t>Director</w:t>
            </w:r>
          </w:p>
        </w:tc>
        <w:tc>
          <w:tcPr>
            <w:tcW w:w="1688" w:type="pct"/>
            <w:tcBorders>
              <w:right w:val="single" w:sz="4" w:space="0" w:color="B9B9B9"/>
            </w:tcBorders>
          </w:tcPr>
          <w:p w14:paraId="7BA297C1" w14:textId="47B59886" w:rsidR="00B4378A" w:rsidRPr="00BD7FB4" w:rsidRDefault="00B4378A" w:rsidP="001949F6">
            <w:pPr>
              <w:pStyle w:val="TableText"/>
            </w:pPr>
          </w:p>
        </w:tc>
        <w:tc>
          <w:tcPr>
            <w:tcW w:w="1055" w:type="pct"/>
            <w:tcBorders>
              <w:left w:val="single" w:sz="4" w:space="0" w:color="B9B9B9"/>
            </w:tcBorders>
          </w:tcPr>
          <w:p w14:paraId="27A4CBF7" w14:textId="77777777" w:rsidR="00B4378A" w:rsidRPr="00BD7FB4" w:rsidRDefault="00B4378A" w:rsidP="001949F6">
            <w:pPr>
              <w:pStyle w:val="TableHeader"/>
            </w:pPr>
            <w:r w:rsidRPr="00BD7FB4">
              <w:t>Status</w:t>
            </w:r>
          </w:p>
        </w:tc>
        <w:tc>
          <w:tcPr>
            <w:tcW w:w="938" w:type="pct"/>
          </w:tcPr>
          <w:p w14:paraId="78317827" w14:textId="52A3ECDB" w:rsidR="00B4378A" w:rsidRPr="00BD7FB4" w:rsidRDefault="008C1248" w:rsidP="001949F6">
            <w:pPr>
              <w:pStyle w:val="TableText"/>
            </w:pPr>
            <w:r>
              <w:t>Draft</w:t>
            </w:r>
          </w:p>
        </w:tc>
      </w:tr>
      <w:tr w:rsidR="00B4378A" w:rsidRPr="00BD7FB4" w14:paraId="3E572770" w14:textId="77777777" w:rsidTr="00175953">
        <w:trPr>
          <w:trHeight w:val="170"/>
        </w:trPr>
        <w:tc>
          <w:tcPr>
            <w:tcW w:w="1319" w:type="pct"/>
          </w:tcPr>
          <w:p w14:paraId="26A13EA5" w14:textId="77777777" w:rsidR="00B4378A" w:rsidRPr="00BD7FB4" w:rsidRDefault="00B4378A" w:rsidP="001949F6">
            <w:pPr>
              <w:pStyle w:val="TableHeader"/>
            </w:pPr>
            <w:r w:rsidRPr="00BD7FB4">
              <w:t>Owner</w:t>
            </w:r>
          </w:p>
        </w:tc>
        <w:tc>
          <w:tcPr>
            <w:tcW w:w="1688" w:type="pct"/>
            <w:tcBorders>
              <w:right w:val="single" w:sz="4" w:space="0" w:color="B9B9B9"/>
            </w:tcBorders>
          </w:tcPr>
          <w:p w14:paraId="12ED17E9" w14:textId="697AE955" w:rsidR="00B4378A" w:rsidRPr="00BD7FB4" w:rsidRDefault="00865A37" w:rsidP="001949F6">
            <w:pPr>
              <w:pStyle w:val="TableText"/>
            </w:pPr>
            <w:r w:rsidRPr="00865A37">
              <w:rPr>
                <w:b/>
                <w:bCs/>
              </w:rPr>
              <w:t>Jonathan Martin</w:t>
            </w:r>
          </w:p>
        </w:tc>
        <w:tc>
          <w:tcPr>
            <w:tcW w:w="1055" w:type="pct"/>
            <w:tcBorders>
              <w:left w:val="single" w:sz="4" w:space="0" w:color="B9B9B9"/>
            </w:tcBorders>
          </w:tcPr>
          <w:p w14:paraId="2CBB0290" w14:textId="77777777" w:rsidR="00B4378A" w:rsidRPr="00BD7FB4" w:rsidRDefault="00B4378A" w:rsidP="001949F6">
            <w:pPr>
              <w:pStyle w:val="TableHeader"/>
            </w:pPr>
            <w:r w:rsidRPr="00BD7FB4">
              <w:t>Version</w:t>
            </w:r>
          </w:p>
        </w:tc>
        <w:tc>
          <w:tcPr>
            <w:tcW w:w="938" w:type="pct"/>
          </w:tcPr>
          <w:p w14:paraId="1D5E1BA4" w14:textId="6A5CF99A" w:rsidR="00B4378A" w:rsidRPr="00BD7FB4" w:rsidRDefault="008C1248" w:rsidP="001949F6">
            <w:pPr>
              <w:pStyle w:val="TableText"/>
            </w:pPr>
            <w:r>
              <w:t>0.</w:t>
            </w:r>
            <w:r w:rsidR="00E03CC7">
              <w:t>7</w:t>
            </w:r>
          </w:p>
        </w:tc>
      </w:tr>
      <w:tr w:rsidR="00B4378A" w:rsidRPr="00BD7FB4" w14:paraId="305E4A43" w14:textId="77777777" w:rsidTr="1121671F">
        <w:trPr>
          <w:trHeight w:val="170"/>
        </w:trPr>
        <w:tc>
          <w:tcPr>
            <w:tcW w:w="1319" w:type="pct"/>
          </w:tcPr>
          <w:p w14:paraId="3090CAC1" w14:textId="0411FBDA" w:rsidR="00B4378A" w:rsidRPr="00BD7FB4" w:rsidRDefault="00B4378A" w:rsidP="001949F6">
            <w:pPr>
              <w:pStyle w:val="TableHeader"/>
            </w:pPr>
            <w:r w:rsidRPr="00BD7FB4">
              <w:t>Author</w:t>
            </w:r>
          </w:p>
        </w:tc>
        <w:tc>
          <w:tcPr>
            <w:tcW w:w="1688" w:type="pct"/>
            <w:tcBorders>
              <w:right w:val="single" w:sz="4" w:space="0" w:color="B9B9B9"/>
            </w:tcBorders>
          </w:tcPr>
          <w:p w14:paraId="7DDC8944" w14:textId="01EC4636" w:rsidR="0002798A" w:rsidRPr="00BD7FB4" w:rsidRDefault="00187545" w:rsidP="0002798A">
            <w:pPr>
              <w:pStyle w:val="TableText"/>
            </w:pPr>
            <w:r w:rsidRPr="00BD7FB4">
              <w:t>Andrew Harrison</w:t>
            </w:r>
            <w:r w:rsidR="00EE5D17" w:rsidRPr="00BD7FB4">
              <w:t xml:space="preserve"> </w:t>
            </w:r>
            <w:r w:rsidR="0002798A" w:rsidRPr="00BD7FB4">
              <w:t xml:space="preserve">ETHOS Ltd. </w:t>
            </w:r>
          </w:p>
          <w:p w14:paraId="1A8A5CA8" w14:textId="77777777" w:rsidR="00B4378A" w:rsidRPr="00BD7FB4" w:rsidRDefault="0002798A" w:rsidP="0002798A">
            <w:pPr>
              <w:pStyle w:val="TableText"/>
            </w:pPr>
            <w:r w:rsidRPr="00BD7FB4">
              <w:t xml:space="preserve">Safety </w:t>
            </w:r>
            <w:r w:rsidR="00187545" w:rsidRPr="00BD7FB4">
              <w:t>Engineer</w:t>
            </w:r>
          </w:p>
          <w:p w14:paraId="3DBF2A80" w14:textId="32F0F3B2" w:rsidR="00187545" w:rsidRPr="00BD7FB4" w:rsidRDefault="004A1588" w:rsidP="0002798A">
            <w:pPr>
              <w:pStyle w:val="TableText"/>
            </w:pPr>
            <w:r>
              <w:t>Saven Shah, Clinical Safety Officer,</w:t>
            </w:r>
            <w:r w:rsidR="00187545" w:rsidRPr="00BD7FB4">
              <w:t xml:space="preserve"> ETHOS Ltd.</w:t>
            </w:r>
          </w:p>
        </w:tc>
        <w:tc>
          <w:tcPr>
            <w:tcW w:w="1055" w:type="pct"/>
            <w:tcBorders>
              <w:left w:val="single" w:sz="4" w:space="0" w:color="B9B9B9"/>
            </w:tcBorders>
          </w:tcPr>
          <w:p w14:paraId="69CE48EA" w14:textId="77777777" w:rsidR="00B4378A" w:rsidRPr="00BD7FB4" w:rsidRDefault="00B4378A" w:rsidP="001949F6">
            <w:pPr>
              <w:pStyle w:val="TableHeader"/>
            </w:pPr>
            <w:r w:rsidRPr="00BD7FB4">
              <w:t>Version issue date</w:t>
            </w:r>
          </w:p>
        </w:tc>
        <w:tc>
          <w:tcPr>
            <w:tcW w:w="938" w:type="pct"/>
          </w:tcPr>
          <w:p w14:paraId="29D01FBC" w14:textId="4A6D7749" w:rsidR="00B4378A" w:rsidRPr="00BD7FB4" w:rsidRDefault="00E03CC7" w:rsidP="001949F6">
            <w:pPr>
              <w:pStyle w:val="TableText"/>
            </w:pPr>
            <w:r>
              <w:t>23</w:t>
            </w:r>
            <w:r w:rsidR="004C0879">
              <w:t>.04.2026</w:t>
            </w:r>
          </w:p>
        </w:tc>
      </w:tr>
      <w:tr w:rsidR="005B7A1D" w:rsidRPr="00BD7FB4" w14:paraId="693479DB" w14:textId="77777777" w:rsidTr="1121671F">
        <w:trPr>
          <w:trHeight w:val="170"/>
        </w:trPr>
        <w:tc>
          <w:tcPr>
            <w:tcW w:w="5000" w:type="pct"/>
            <w:gridSpan w:val="4"/>
          </w:tcPr>
          <w:p w14:paraId="67B6C1C4" w14:textId="78291A28" w:rsidR="005B7A1D" w:rsidRPr="00BD7FB4" w:rsidRDefault="005B7A1D" w:rsidP="005B7A1D">
            <w:pPr>
              <w:pStyle w:val="TableHeader"/>
              <w:rPr>
                <w:b w:val="0"/>
                <w:bCs w:val="0"/>
              </w:rPr>
            </w:pPr>
            <w:r w:rsidRPr="00BD7FB4">
              <w:rPr>
                <w:b w:val="0"/>
                <w:bCs w:val="0"/>
              </w:rPr>
              <w:t>This is a controlled document; any printed copies of this document are not controlled.</w:t>
            </w:r>
          </w:p>
        </w:tc>
      </w:tr>
    </w:tbl>
    <w:p w14:paraId="2C53B373" w14:textId="2DEFDE18" w:rsidR="00CD0E51" w:rsidRPr="00BD7FB4" w:rsidRDefault="00CD0E51" w:rsidP="00CD0E51">
      <w:pPr>
        <w:sectPr w:rsidR="00CD0E51" w:rsidRPr="00BD7FB4" w:rsidSect="00475B2A">
          <w:headerReference w:type="default" r:id="rId11"/>
          <w:footerReference w:type="default" r:id="rId12"/>
          <w:headerReference w:type="first" r:id="rId13"/>
          <w:footerReference w:type="first" r:id="rId14"/>
          <w:pgSz w:w="11906" w:h="16838"/>
          <w:pgMar w:top="1214" w:right="1021" w:bottom="1021" w:left="1021" w:header="454" w:footer="680" w:gutter="0"/>
          <w:cols w:space="708"/>
          <w:titlePg/>
          <w:docGrid w:linePitch="360"/>
        </w:sectPr>
      </w:pPr>
    </w:p>
    <w:p w14:paraId="221804B7" w14:textId="77777777" w:rsidR="00B4378A" w:rsidRPr="00BD7FB4" w:rsidRDefault="00B4378A" w:rsidP="00B4378A">
      <w:pPr>
        <w:pStyle w:val="Docmgmtheading"/>
        <w:rPr>
          <w:color w:val="005EB8" w:themeColor="accent1"/>
        </w:rPr>
      </w:pPr>
      <w:r w:rsidRPr="00BD7FB4">
        <w:rPr>
          <w:color w:val="005EB8" w:themeColor="accent1"/>
        </w:rPr>
        <w:lastRenderedPageBreak/>
        <w:t>Document Management</w:t>
      </w:r>
    </w:p>
    <w:p w14:paraId="0E79B454" w14:textId="77777777" w:rsidR="00B4378A" w:rsidRPr="00BD7FB4" w:rsidRDefault="00B4378A" w:rsidP="00B4378A">
      <w:pPr>
        <w:pStyle w:val="DocMgmtSubhead"/>
        <w:rPr>
          <w:color w:val="005EB8" w:themeColor="accent1"/>
          <w:sz w:val="22"/>
        </w:rPr>
      </w:pPr>
      <w:bookmarkStart w:id="0" w:name="_Toc350847280"/>
      <w:bookmarkStart w:id="1" w:name="_Toc350847324"/>
      <w:r w:rsidRPr="00BD7FB4">
        <w:rPr>
          <w:color w:val="005EB8" w:themeColor="accent1"/>
          <w:sz w:val="22"/>
        </w:rPr>
        <w:t>Revision 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BD7FB4" w14:paraId="7CABFBFE" w14:textId="77777777" w:rsidTr="001949F6">
        <w:trPr>
          <w:trHeight w:val="290"/>
        </w:trPr>
        <w:tc>
          <w:tcPr>
            <w:tcW w:w="575" w:type="pct"/>
            <w:tcBorders>
              <w:top w:val="single" w:sz="2" w:space="0" w:color="000000"/>
              <w:bottom w:val="single" w:sz="2" w:space="0" w:color="000000"/>
              <w:right w:val="nil"/>
            </w:tcBorders>
          </w:tcPr>
          <w:p w14:paraId="6E07B7CE" w14:textId="77777777" w:rsidR="00B4378A" w:rsidRPr="00BD7FB4" w:rsidRDefault="00B4378A" w:rsidP="001949F6">
            <w:pPr>
              <w:pStyle w:val="TableHeader"/>
            </w:pPr>
            <w:r w:rsidRPr="00BD7FB4">
              <w:t>Version</w:t>
            </w:r>
          </w:p>
        </w:tc>
        <w:tc>
          <w:tcPr>
            <w:tcW w:w="763" w:type="pct"/>
            <w:tcBorders>
              <w:top w:val="single" w:sz="2" w:space="0" w:color="000000"/>
              <w:left w:val="nil"/>
              <w:bottom w:val="single" w:sz="2" w:space="0" w:color="000000"/>
              <w:right w:val="nil"/>
            </w:tcBorders>
          </w:tcPr>
          <w:p w14:paraId="39234A01" w14:textId="77777777" w:rsidR="00B4378A" w:rsidRPr="00BD7FB4" w:rsidRDefault="00B4378A" w:rsidP="001949F6">
            <w:pPr>
              <w:pStyle w:val="TableHeader"/>
            </w:pPr>
            <w:r w:rsidRPr="00BD7FB4">
              <w:t>Date</w:t>
            </w:r>
          </w:p>
        </w:tc>
        <w:tc>
          <w:tcPr>
            <w:tcW w:w="3662" w:type="pct"/>
            <w:tcBorders>
              <w:top w:val="single" w:sz="2" w:space="0" w:color="000000"/>
              <w:left w:val="nil"/>
              <w:bottom w:val="single" w:sz="2" w:space="0" w:color="000000"/>
            </w:tcBorders>
          </w:tcPr>
          <w:p w14:paraId="19DADF0F" w14:textId="77777777" w:rsidR="00B4378A" w:rsidRPr="00BD7FB4" w:rsidRDefault="00B4378A" w:rsidP="001949F6">
            <w:pPr>
              <w:pStyle w:val="TableHeader"/>
            </w:pPr>
            <w:r w:rsidRPr="00BD7FB4">
              <w:t>Summary of Changes</w:t>
            </w:r>
          </w:p>
        </w:tc>
      </w:tr>
      <w:tr w:rsidR="00B4378A" w:rsidRPr="00BD7FB4" w14:paraId="0BF7DED7" w14:textId="77777777" w:rsidTr="001949F6">
        <w:trPr>
          <w:trHeight w:val="290"/>
        </w:trPr>
        <w:tc>
          <w:tcPr>
            <w:tcW w:w="575" w:type="pct"/>
            <w:tcBorders>
              <w:right w:val="single" w:sz="2" w:space="0" w:color="B9B9B9"/>
            </w:tcBorders>
          </w:tcPr>
          <w:p w14:paraId="6CEF2C4B" w14:textId="644F52D9" w:rsidR="00B4378A" w:rsidRPr="00BD7FB4" w:rsidRDefault="00207D86" w:rsidP="001949F6">
            <w:pPr>
              <w:pStyle w:val="TableText"/>
            </w:pPr>
            <w:r w:rsidRPr="00BD7FB4">
              <w:t>0.1</w:t>
            </w:r>
          </w:p>
        </w:tc>
        <w:tc>
          <w:tcPr>
            <w:tcW w:w="763" w:type="pct"/>
            <w:tcBorders>
              <w:left w:val="single" w:sz="2" w:space="0" w:color="B9B9B9"/>
              <w:right w:val="single" w:sz="2" w:space="0" w:color="B9B9B9"/>
            </w:tcBorders>
          </w:tcPr>
          <w:p w14:paraId="2E831E2D" w14:textId="7F797C69" w:rsidR="00B4378A" w:rsidRPr="00BD7FB4" w:rsidRDefault="005852C1" w:rsidP="001949F6">
            <w:pPr>
              <w:pStyle w:val="TableText"/>
            </w:pPr>
            <w:r>
              <w:t>15</w:t>
            </w:r>
            <w:r w:rsidR="00DE14E5" w:rsidRPr="00BD7FB4">
              <w:t>.</w:t>
            </w:r>
            <w:r w:rsidR="004B0F04" w:rsidRPr="00BD7FB4">
              <w:t>0</w:t>
            </w:r>
            <w:r w:rsidR="008C1248">
              <w:t>9</w:t>
            </w:r>
            <w:r w:rsidR="00DE14E5" w:rsidRPr="00BD7FB4">
              <w:t>.202</w:t>
            </w:r>
            <w:r w:rsidR="004B0F04" w:rsidRPr="00BD7FB4">
              <w:t>5</w:t>
            </w:r>
          </w:p>
        </w:tc>
        <w:tc>
          <w:tcPr>
            <w:tcW w:w="3662" w:type="pct"/>
            <w:tcBorders>
              <w:left w:val="single" w:sz="2" w:space="0" w:color="B9B9B9"/>
            </w:tcBorders>
          </w:tcPr>
          <w:p w14:paraId="77297198" w14:textId="3206026F" w:rsidR="00B4378A" w:rsidRPr="00BD7FB4" w:rsidRDefault="007255F7" w:rsidP="001949F6">
            <w:pPr>
              <w:pStyle w:val="TableText"/>
            </w:pPr>
            <w:r w:rsidRPr="00BD7FB4">
              <w:t>Initi</w:t>
            </w:r>
            <w:r w:rsidR="00092077" w:rsidRPr="00BD7FB4">
              <w:t>al draft d</w:t>
            </w:r>
            <w:r w:rsidR="005F3F8E" w:rsidRPr="00BD7FB4">
              <w:t>ocument</w:t>
            </w:r>
          </w:p>
        </w:tc>
      </w:tr>
      <w:tr w:rsidR="00886503" w:rsidRPr="00BD7FB4" w14:paraId="465BF62E" w14:textId="77777777" w:rsidTr="001949F6">
        <w:trPr>
          <w:trHeight w:val="290"/>
        </w:trPr>
        <w:tc>
          <w:tcPr>
            <w:tcW w:w="575" w:type="pct"/>
            <w:tcBorders>
              <w:right w:val="single" w:sz="2" w:space="0" w:color="B9B9B9"/>
            </w:tcBorders>
          </w:tcPr>
          <w:p w14:paraId="49409D68" w14:textId="53596755" w:rsidR="00886503" w:rsidRPr="00BD7FB4" w:rsidRDefault="00596948" w:rsidP="001949F6">
            <w:pPr>
              <w:pStyle w:val="TableText"/>
            </w:pPr>
            <w:r>
              <w:t>0.2</w:t>
            </w:r>
          </w:p>
        </w:tc>
        <w:tc>
          <w:tcPr>
            <w:tcW w:w="763" w:type="pct"/>
            <w:tcBorders>
              <w:left w:val="single" w:sz="2" w:space="0" w:color="B9B9B9"/>
              <w:right w:val="single" w:sz="2" w:space="0" w:color="B9B9B9"/>
            </w:tcBorders>
          </w:tcPr>
          <w:p w14:paraId="4EE374E0" w14:textId="5A4A9DC9" w:rsidR="00886503" w:rsidRPr="00BD7FB4" w:rsidRDefault="00596948" w:rsidP="001949F6">
            <w:pPr>
              <w:pStyle w:val="TableText"/>
            </w:pPr>
            <w:r>
              <w:t>04/11/2025</w:t>
            </w:r>
          </w:p>
        </w:tc>
        <w:tc>
          <w:tcPr>
            <w:tcW w:w="3662" w:type="pct"/>
            <w:tcBorders>
              <w:left w:val="single" w:sz="2" w:space="0" w:color="B9B9B9"/>
            </w:tcBorders>
          </w:tcPr>
          <w:p w14:paraId="070783E7" w14:textId="417702F8" w:rsidR="00886503" w:rsidRPr="00BD7FB4" w:rsidRDefault="008247D4" w:rsidP="001949F6">
            <w:pPr>
              <w:pStyle w:val="TableText"/>
            </w:pPr>
            <w:r>
              <w:t>Updated from Hazard Log rationalisation</w:t>
            </w:r>
          </w:p>
        </w:tc>
      </w:tr>
      <w:tr w:rsidR="00CF4E65" w:rsidRPr="00BD7FB4" w14:paraId="771245AF" w14:textId="77777777" w:rsidTr="001949F6">
        <w:trPr>
          <w:trHeight w:val="290"/>
        </w:trPr>
        <w:tc>
          <w:tcPr>
            <w:tcW w:w="575" w:type="pct"/>
            <w:tcBorders>
              <w:right w:val="single" w:sz="2" w:space="0" w:color="B9B9B9"/>
            </w:tcBorders>
          </w:tcPr>
          <w:p w14:paraId="2C75C191" w14:textId="4D5FEFC4" w:rsidR="00CF4E65" w:rsidRDefault="00CF4E65" w:rsidP="001949F6">
            <w:pPr>
              <w:pStyle w:val="TableText"/>
            </w:pPr>
            <w:r>
              <w:t>0.3</w:t>
            </w:r>
          </w:p>
        </w:tc>
        <w:tc>
          <w:tcPr>
            <w:tcW w:w="763" w:type="pct"/>
            <w:tcBorders>
              <w:left w:val="single" w:sz="2" w:space="0" w:color="B9B9B9"/>
              <w:right w:val="single" w:sz="2" w:space="0" w:color="B9B9B9"/>
            </w:tcBorders>
          </w:tcPr>
          <w:p w14:paraId="3C8F933F" w14:textId="42A9CF1C" w:rsidR="00CF4E65" w:rsidRDefault="00CF4E65" w:rsidP="001949F6">
            <w:pPr>
              <w:pStyle w:val="TableText"/>
            </w:pPr>
            <w:r>
              <w:t>18/11/2025</w:t>
            </w:r>
          </w:p>
        </w:tc>
        <w:tc>
          <w:tcPr>
            <w:tcW w:w="3662" w:type="pct"/>
            <w:tcBorders>
              <w:left w:val="single" w:sz="2" w:space="0" w:color="B9B9B9"/>
            </w:tcBorders>
          </w:tcPr>
          <w:p w14:paraId="6B109ADF" w14:textId="680A07C7" w:rsidR="00CF4E65" w:rsidRDefault="00CF4E65" w:rsidP="001949F6">
            <w:pPr>
              <w:pStyle w:val="TableText"/>
            </w:pPr>
            <w:r>
              <w:t xml:space="preserve">Clarification </w:t>
            </w:r>
            <w:r w:rsidRPr="00175953">
              <w:t xml:space="preserve">of </w:t>
            </w:r>
            <w:r w:rsidR="0088086A" w:rsidRPr="00175953">
              <w:rPr>
                <w:rFonts w:asciiTheme="minorHAnsi" w:hAnsiTheme="minorHAnsi" w:cstheme="minorBidi"/>
                <w:sz w:val="24"/>
              </w:rPr>
              <w:t>Discovery &amp; Report Retrieval and Image retrieval for the XCA endpoint</w:t>
            </w:r>
            <w:r w:rsidR="0088086A" w:rsidRPr="00175953">
              <w:rPr>
                <w:rFonts w:asciiTheme="minorHAnsi" w:hAnsiTheme="minorHAnsi" w:cstheme="minorBidi"/>
                <w:sz w:val="22"/>
                <w:szCs w:val="22"/>
              </w:rPr>
              <w:t xml:space="preserve"> </w:t>
            </w:r>
            <w:r w:rsidRPr="00175953">
              <w:t xml:space="preserve">and </w:t>
            </w:r>
            <w:r w:rsidRPr="00CF4E65">
              <w:t>Private Beta</w:t>
            </w:r>
            <w:r>
              <w:t>.</w:t>
            </w:r>
          </w:p>
        </w:tc>
      </w:tr>
      <w:tr w:rsidR="005D2C0E" w:rsidRPr="00BD7FB4" w14:paraId="54D5473A" w14:textId="77777777" w:rsidTr="001949F6">
        <w:trPr>
          <w:trHeight w:val="290"/>
        </w:trPr>
        <w:tc>
          <w:tcPr>
            <w:tcW w:w="575" w:type="pct"/>
            <w:tcBorders>
              <w:right w:val="single" w:sz="2" w:space="0" w:color="B9B9B9"/>
            </w:tcBorders>
          </w:tcPr>
          <w:p w14:paraId="4B1E43C7" w14:textId="080A3FED" w:rsidR="005D2C0E" w:rsidRDefault="005D2C0E" w:rsidP="001949F6">
            <w:pPr>
              <w:pStyle w:val="TableText"/>
            </w:pPr>
            <w:r>
              <w:t>0.4</w:t>
            </w:r>
          </w:p>
        </w:tc>
        <w:tc>
          <w:tcPr>
            <w:tcW w:w="763" w:type="pct"/>
            <w:tcBorders>
              <w:left w:val="single" w:sz="2" w:space="0" w:color="B9B9B9"/>
              <w:right w:val="single" w:sz="2" w:space="0" w:color="B9B9B9"/>
            </w:tcBorders>
          </w:tcPr>
          <w:p w14:paraId="631B004D" w14:textId="60EF9DB9" w:rsidR="005D2C0E" w:rsidRDefault="005D2C0E" w:rsidP="001949F6">
            <w:pPr>
              <w:pStyle w:val="TableText"/>
            </w:pPr>
            <w:r>
              <w:t>19/11/2025</w:t>
            </w:r>
          </w:p>
        </w:tc>
        <w:tc>
          <w:tcPr>
            <w:tcW w:w="3662" w:type="pct"/>
            <w:tcBorders>
              <w:left w:val="single" w:sz="2" w:space="0" w:color="B9B9B9"/>
            </w:tcBorders>
          </w:tcPr>
          <w:p w14:paraId="1DE77DE4" w14:textId="6F31EDFE" w:rsidR="005D2C0E" w:rsidRDefault="005D2C0E" w:rsidP="001949F6">
            <w:pPr>
              <w:pStyle w:val="TableText"/>
            </w:pPr>
            <w:r>
              <w:t>Updated from technical review with NIR project team</w:t>
            </w:r>
          </w:p>
        </w:tc>
      </w:tr>
      <w:tr w:rsidR="00D32D1D" w:rsidRPr="00BD7FB4" w14:paraId="5269FD77" w14:textId="77777777" w:rsidTr="001949F6">
        <w:trPr>
          <w:trHeight w:val="290"/>
        </w:trPr>
        <w:tc>
          <w:tcPr>
            <w:tcW w:w="575" w:type="pct"/>
            <w:tcBorders>
              <w:right w:val="single" w:sz="2" w:space="0" w:color="B9B9B9"/>
            </w:tcBorders>
          </w:tcPr>
          <w:p w14:paraId="7607FC13" w14:textId="5818BCED" w:rsidR="00D32D1D" w:rsidRDefault="00D32D1D" w:rsidP="001949F6">
            <w:pPr>
              <w:pStyle w:val="TableText"/>
            </w:pPr>
            <w:r>
              <w:t>0.5</w:t>
            </w:r>
          </w:p>
        </w:tc>
        <w:tc>
          <w:tcPr>
            <w:tcW w:w="763" w:type="pct"/>
            <w:tcBorders>
              <w:left w:val="single" w:sz="2" w:space="0" w:color="B9B9B9"/>
              <w:right w:val="single" w:sz="2" w:space="0" w:color="B9B9B9"/>
            </w:tcBorders>
          </w:tcPr>
          <w:p w14:paraId="2B5E6C60" w14:textId="1425E66D" w:rsidR="00D32D1D" w:rsidRDefault="00D32D1D" w:rsidP="001949F6">
            <w:pPr>
              <w:pStyle w:val="TableText"/>
            </w:pPr>
            <w:r>
              <w:t>08/12/2025</w:t>
            </w:r>
          </w:p>
        </w:tc>
        <w:tc>
          <w:tcPr>
            <w:tcW w:w="3662" w:type="pct"/>
            <w:tcBorders>
              <w:left w:val="single" w:sz="2" w:space="0" w:color="B9B9B9"/>
            </w:tcBorders>
          </w:tcPr>
          <w:p w14:paraId="607061EF" w14:textId="1E364ED9" w:rsidR="00D32D1D" w:rsidRDefault="00D32D1D" w:rsidP="001949F6">
            <w:pPr>
              <w:pStyle w:val="TableText"/>
            </w:pPr>
            <w:r>
              <w:t>Completion of Comments from secondary review.</w:t>
            </w:r>
          </w:p>
        </w:tc>
      </w:tr>
      <w:tr w:rsidR="004C0879" w:rsidRPr="00BD7FB4" w14:paraId="580E7633" w14:textId="77777777" w:rsidTr="001949F6">
        <w:trPr>
          <w:trHeight w:val="290"/>
        </w:trPr>
        <w:tc>
          <w:tcPr>
            <w:tcW w:w="575" w:type="pct"/>
            <w:tcBorders>
              <w:right w:val="single" w:sz="2" w:space="0" w:color="B9B9B9"/>
            </w:tcBorders>
          </w:tcPr>
          <w:p w14:paraId="54653A76" w14:textId="477CDCA9" w:rsidR="004C0879" w:rsidRDefault="004C0879" w:rsidP="001949F6">
            <w:pPr>
              <w:pStyle w:val="TableText"/>
            </w:pPr>
            <w:r>
              <w:t>0.6</w:t>
            </w:r>
          </w:p>
        </w:tc>
        <w:tc>
          <w:tcPr>
            <w:tcW w:w="763" w:type="pct"/>
            <w:tcBorders>
              <w:left w:val="single" w:sz="2" w:space="0" w:color="B9B9B9"/>
              <w:right w:val="single" w:sz="2" w:space="0" w:color="B9B9B9"/>
            </w:tcBorders>
          </w:tcPr>
          <w:p w14:paraId="4A80B1DC" w14:textId="7CD4E85B" w:rsidR="004C0879" w:rsidRDefault="004C0879" w:rsidP="001949F6">
            <w:pPr>
              <w:pStyle w:val="TableText"/>
            </w:pPr>
            <w:r>
              <w:t>17/04/202</w:t>
            </w:r>
            <w:r w:rsidR="00E03CC7">
              <w:t>6</w:t>
            </w:r>
          </w:p>
        </w:tc>
        <w:tc>
          <w:tcPr>
            <w:tcW w:w="3662" w:type="pct"/>
            <w:tcBorders>
              <w:left w:val="single" w:sz="2" w:space="0" w:color="B9B9B9"/>
            </w:tcBorders>
          </w:tcPr>
          <w:p w14:paraId="46341B77" w14:textId="0E9E0360" w:rsidR="004C0879" w:rsidRDefault="004C0879" w:rsidP="001949F6">
            <w:pPr>
              <w:pStyle w:val="TableText"/>
            </w:pPr>
            <w:r>
              <w:t>Update to CSCR following change in number of organisation users from 10-50</w:t>
            </w:r>
          </w:p>
        </w:tc>
      </w:tr>
      <w:tr w:rsidR="00E03CC7" w:rsidRPr="00BD7FB4" w14:paraId="181D6163" w14:textId="77777777" w:rsidTr="001949F6">
        <w:trPr>
          <w:trHeight w:val="290"/>
        </w:trPr>
        <w:tc>
          <w:tcPr>
            <w:tcW w:w="575" w:type="pct"/>
            <w:tcBorders>
              <w:right w:val="single" w:sz="2" w:space="0" w:color="B9B9B9"/>
            </w:tcBorders>
          </w:tcPr>
          <w:p w14:paraId="54C60F8A" w14:textId="5F6F0770" w:rsidR="00E03CC7" w:rsidRDefault="00E03CC7" w:rsidP="001949F6">
            <w:pPr>
              <w:pStyle w:val="TableText"/>
            </w:pPr>
            <w:r>
              <w:t>0.7</w:t>
            </w:r>
          </w:p>
        </w:tc>
        <w:tc>
          <w:tcPr>
            <w:tcW w:w="763" w:type="pct"/>
            <w:tcBorders>
              <w:left w:val="single" w:sz="2" w:space="0" w:color="B9B9B9"/>
              <w:right w:val="single" w:sz="2" w:space="0" w:color="B9B9B9"/>
            </w:tcBorders>
          </w:tcPr>
          <w:p w14:paraId="4D4F0490" w14:textId="00D71ADE" w:rsidR="00E03CC7" w:rsidRDefault="00E03CC7" w:rsidP="001949F6">
            <w:pPr>
              <w:pStyle w:val="TableText"/>
            </w:pPr>
            <w:r>
              <w:t>23/04/2026</w:t>
            </w:r>
          </w:p>
        </w:tc>
        <w:tc>
          <w:tcPr>
            <w:tcW w:w="3662" w:type="pct"/>
            <w:tcBorders>
              <w:left w:val="single" w:sz="2" w:space="0" w:color="B9B9B9"/>
            </w:tcBorders>
          </w:tcPr>
          <w:p w14:paraId="6B6EE393" w14:textId="691C987E" w:rsidR="00E03CC7" w:rsidRDefault="00E03CC7" w:rsidP="001949F6">
            <w:pPr>
              <w:pStyle w:val="TableText"/>
            </w:pPr>
            <w:r>
              <w:t>Updated to reflect review comments from CSG</w:t>
            </w:r>
            <w:r w:rsidR="00760321">
              <w:t xml:space="preserve"> and from feedback from Clinical Lead with CSCR comments </w:t>
            </w:r>
          </w:p>
        </w:tc>
      </w:tr>
    </w:tbl>
    <w:p w14:paraId="73007EC2" w14:textId="77777777" w:rsidR="00B4378A" w:rsidRPr="00BD7FB4" w:rsidRDefault="00B4378A" w:rsidP="00B4378A">
      <w:pPr>
        <w:rPr>
          <w:sz w:val="16"/>
          <w:szCs w:val="16"/>
        </w:rPr>
      </w:pPr>
    </w:p>
    <w:p w14:paraId="750BD348" w14:textId="77777777" w:rsidR="00B4378A" w:rsidRPr="00BD7FB4" w:rsidRDefault="00B4378A" w:rsidP="00B4378A">
      <w:pPr>
        <w:pStyle w:val="DocMgmtSubhead"/>
        <w:rPr>
          <w:color w:val="005EB8" w:themeColor="accent1"/>
          <w:sz w:val="22"/>
        </w:rPr>
      </w:pPr>
      <w:bookmarkStart w:id="2" w:name="_Toc350847281"/>
      <w:bookmarkStart w:id="3" w:name="_Toc350847325"/>
      <w:r w:rsidRPr="00BD7FB4">
        <w:rPr>
          <w:color w:val="005EB8" w:themeColor="accent1"/>
          <w:sz w:val="22"/>
        </w:rPr>
        <w:t>Reviewers</w:t>
      </w:r>
      <w:bookmarkEnd w:id="2"/>
      <w:bookmarkEnd w:id="3"/>
    </w:p>
    <w:p w14:paraId="61B56644" w14:textId="77777777" w:rsidR="00B4378A" w:rsidRPr="00BD7FB4" w:rsidRDefault="00B4378A" w:rsidP="00B4378A">
      <w:r w:rsidRPr="00BD7FB4">
        <w:t xml:space="preserve">This document must be reviewed by </w:t>
      </w:r>
      <w:r w:rsidR="00EB7ACA" w:rsidRPr="00BD7FB4">
        <w:t>the</w:t>
      </w:r>
      <w:r w:rsidRPr="00BD7FB4">
        <w:t xml:space="preserv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B4378A" w:rsidRPr="00BD7FB4" w14:paraId="259FA065" w14:textId="77777777" w:rsidTr="001A307A">
        <w:tc>
          <w:tcPr>
            <w:tcW w:w="1215" w:type="pct"/>
            <w:tcBorders>
              <w:top w:val="single" w:sz="2" w:space="0" w:color="000000"/>
              <w:bottom w:val="single" w:sz="2" w:space="0" w:color="000000"/>
              <w:right w:val="nil"/>
            </w:tcBorders>
          </w:tcPr>
          <w:p w14:paraId="07213B50" w14:textId="77777777" w:rsidR="00B4378A" w:rsidRPr="00BD7FB4" w:rsidRDefault="00B4378A" w:rsidP="001949F6">
            <w:pPr>
              <w:pStyle w:val="TableHeader"/>
            </w:pPr>
            <w:r w:rsidRPr="00BD7FB4">
              <w:t>Reviewer name</w:t>
            </w:r>
          </w:p>
        </w:tc>
        <w:tc>
          <w:tcPr>
            <w:tcW w:w="2580" w:type="pct"/>
            <w:tcBorders>
              <w:top w:val="single" w:sz="2" w:space="0" w:color="000000"/>
              <w:left w:val="nil"/>
              <w:bottom w:val="single" w:sz="2" w:space="0" w:color="000000"/>
              <w:right w:val="nil"/>
            </w:tcBorders>
          </w:tcPr>
          <w:p w14:paraId="20ED222A" w14:textId="77777777" w:rsidR="00B4378A" w:rsidRPr="00BD7FB4" w:rsidRDefault="00B4378A" w:rsidP="001949F6">
            <w:pPr>
              <w:pStyle w:val="TableHeader"/>
            </w:pPr>
            <w:r w:rsidRPr="00BD7FB4">
              <w:t>Title / Responsibility</w:t>
            </w:r>
          </w:p>
        </w:tc>
        <w:tc>
          <w:tcPr>
            <w:tcW w:w="713" w:type="pct"/>
            <w:tcBorders>
              <w:top w:val="single" w:sz="2" w:space="0" w:color="000000"/>
              <w:left w:val="nil"/>
              <w:bottom w:val="single" w:sz="2" w:space="0" w:color="000000"/>
              <w:right w:val="nil"/>
            </w:tcBorders>
          </w:tcPr>
          <w:p w14:paraId="44445E47" w14:textId="77777777" w:rsidR="00B4378A" w:rsidRPr="00BD7FB4" w:rsidRDefault="00B4378A" w:rsidP="001949F6">
            <w:pPr>
              <w:pStyle w:val="TableHeader"/>
            </w:pPr>
            <w:r w:rsidRPr="00BD7FB4">
              <w:t>Date</w:t>
            </w:r>
          </w:p>
        </w:tc>
        <w:tc>
          <w:tcPr>
            <w:tcW w:w="492" w:type="pct"/>
            <w:tcBorders>
              <w:top w:val="single" w:sz="2" w:space="0" w:color="000000"/>
              <w:left w:val="nil"/>
              <w:bottom w:val="single" w:sz="2" w:space="0" w:color="000000"/>
            </w:tcBorders>
          </w:tcPr>
          <w:p w14:paraId="0DE1AC67" w14:textId="77777777" w:rsidR="00B4378A" w:rsidRPr="00BD7FB4" w:rsidRDefault="00B4378A" w:rsidP="001949F6">
            <w:pPr>
              <w:pStyle w:val="TableHeader"/>
            </w:pPr>
            <w:r w:rsidRPr="00BD7FB4">
              <w:t>Version</w:t>
            </w:r>
          </w:p>
        </w:tc>
      </w:tr>
      <w:tr w:rsidR="00B4378A" w:rsidRPr="00BD7FB4" w14:paraId="34F976E2" w14:textId="77777777" w:rsidTr="001A307A">
        <w:tc>
          <w:tcPr>
            <w:tcW w:w="1215" w:type="pct"/>
            <w:tcBorders>
              <w:right w:val="single" w:sz="2" w:space="0" w:color="B9B9B9"/>
            </w:tcBorders>
          </w:tcPr>
          <w:p w14:paraId="3367EFE7" w14:textId="78148943" w:rsidR="00B4378A" w:rsidRPr="00BD7FB4" w:rsidRDefault="00E645FE" w:rsidP="00E645FE">
            <w:pPr>
              <w:pStyle w:val="TableText"/>
            </w:pPr>
            <w:r w:rsidRPr="00BD7FB4">
              <w:t>Andrew Harrison</w:t>
            </w:r>
          </w:p>
        </w:tc>
        <w:tc>
          <w:tcPr>
            <w:tcW w:w="2580" w:type="pct"/>
            <w:tcBorders>
              <w:left w:val="single" w:sz="2" w:space="0" w:color="B9B9B9"/>
              <w:right w:val="single" w:sz="2" w:space="0" w:color="B9B9B9"/>
            </w:tcBorders>
          </w:tcPr>
          <w:p w14:paraId="356B3B06" w14:textId="719CD3C8" w:rsidR="00B4378A" w:rsidRPr="00BD7FB4" w:rsidRDefault="00E645FE" w:rsidP="00E645FE">
            <w:pPr>
              <w:pStyle w:val="TableText"/>
              <w:rPr>
                <w:rFonts w:cs="Arial"/>
              </w:rPr>
            </w:pPr>
            <w:r w:rsidRPr="00BD7FB4">
              <w:rPr>
                <w:rFonts w:cs="Arial"/>
              </w:rPr>
              <w:t>Principal Safety Engineer</w:t>
            </w:r>
            <w:r w:rsidR="00BA2B24" w:rsidRPr="00BD7FB4">
              <w:t>, ETHOS Ltd.</w:t>
            </w:r>
          </w:p>
        </w:tc>
        <w:tc>
          <w:tcPr>
            <w:tcW w:w="713" w:type="pct"/>
            <w:tcBorders>
              <w:left w:val="single" w:sz="2" w:space="0" w:color="B9B9B9"/>
              <w:right w:val="single" w:sz="2" w:space="0" w:color="B9B9B9"/>
            </w:tcBorders>
          </w:tcPr>
          <w:p w14:paraId="6DC4214E" w14:textId="29FF3EAB" w:rsidR="00B4378A" w:rsidRPr="00BD7FB4" w:rsidRDefault="00B4378A" w:rsidP="001949F6">
            <w:pPr>
              <w:pStyle w:val="TableText"/>
            </w:pPr>
          </w:p>
        </w:tc>
        <w:tc>
          <w:tcPr>
            <w:tcW w:w="492" w:type="pct"/>
            <w:tcBorders>
              <w:left w:val="single" w:sz="2" w:space="0" w:color="B9B9B9"/>
            </w:tcBorders>
          </w:tcPr>
          <w:p w14:paraId="183E9C28" w14:textId="127B9491" w:rsidR="00B4378A" w:rsidRPr="00BD7FB4" w:rsidRDefault="00B4378A" w:rsidP="001949F6">
            <w:pPr>
              <w:pStyle w:val="TableText"/>
            </w:pPr>
          </w:p>
        </w:tc>
      </w:tr>
      <w:tr w:rsidR="00597866" w:rsidRPr="00BD7FB4" w14:paraId="62B41749" w14:textId="77777777" w:rsidTr="001A307A">
        <w:tc>
          <w:tcPr>
            <w:tcW w:w="1215" w:type="pct"/>
            <w:tcBorders>
              <w:right w:val="single" w:sz="2" w:space="0" w:color="B9B9B9"/>
            </w:tcBorders>
          </w:tcPr>
          <w:p w14:paraId="74AD1C88" w14:textId="5383CE2E" w:rsidR="00597866" w:rsidRPr="00625D2F" w:rsidRDefault="00597866" w:rsidP="00597866">
            <w:pPr>
              <w:pStyle w:val="TableText"/>
              <w:rPr>
                <w:rFonts w:cs="Arial"/>
              </w:rPr>
            </w:pPr>
            <w:r w:rsidRPr="4E244A5F">
              <w:rPr>
                <w:rFonts w:eastAsia="Arial" w:cs="Arial"/>
                <w:color w:val="0F0F0F" w:themeColor="text1"/>
                <w:szCs w:val="20"/>
                <w:shd w:val="clear" w:color="auto" w:fill="FFFFFF"/>
              </w:rPr>
              <w:t xml:space="preserve">Kira </w:t>
            </w:r>
            <w:r w:rsidRPr="41FBA858">
              <w:rPr>
                <w:rFonts w:eastAsia="Arial" w:cs="Arial"/>
                <w:color w:val="0F0F0F" w:themeColor="text1"/>
                <w:szCs w:val="20"/>
                <w:shd w:val="clear" w:color="auto" w:fill="FFFFFF"/>
              </w:rPr>
              <w:t>Pennington</w:t>
            </w:r>
          </w:p>
        </w:tc>
        <w:tc>
          <w:tcPr>
            <w:tcW w:w="2580" w:type="pct"/>
            <w:tcBorders>
              <w:left w:val="single" w:sz="2" w:space="0" w:color="B9B9B9"/>
              <w:right w:val="single" w:sz="2" w:space="0" w:color="B9B9B9"/>
            </w:tcBorders>
          </w:tcPr>
          <w:p w14:paraId="302C86DE" w14:textId="30B1831F" w:rsidR="00597866" w:rsidRPr="00625D2F" w:rsidRDefault="00597866" w:rsidP="00597866">
            <w:pPr>
              <w:pStyle w:val="TableText"/>
              <w:rPr>
                <w:rFonts w:cs="Arial"/>
              </w:rPr>
            </w:pPr>
            <w:r w:rsidRPr="4E244A5F">
              <w:rPr>
                <w:rFonts w:eastAsia="Arial" w:cs="Arial"/>
                <w:szCs w:val="20"/>
              </w:rPr>
              <w:t>Delivery manager NIR</w:t>
            </w:r>
            <w:r w:rsidR="00D1276D">
              <w:rPr>
                <w:rFonts w:eastAsia="Arial" w:cs="Arial"/>
                <w:szCs w:val="20"/>
              </w:rPr>
              <w:t>,</w:t>
            </w:r>
            <w:r w:rsidRPr="4E244A5F">
              <w:rPr>
                <w:rFonts w:eastAsia="Arial" w:cs="Arial"/>
                <w:szCs w:val="20"/>
              </w:rPr>
              <w:t xml:space="preserve"> NHS England</w:t>
            </w:r>
          </w:p>
        </w:tc>
        <w:tc>
          <w:tcPr>
            <w:tcW w:w="713" w:type="pct"/>
            <w:tcBorders>
              <w:left w:val="single" w:sz="2" w:space="0" w:color="B9B9B9"/>
              <w:right w:val="single" w:sz="2" w:space="0" w:color="B9B9B9"/>
            </w:tcBorders>
          </w:tcPr>
          <w:p w14:paraId="373EB70F" w14:textId="77777777" w:rsidR="00597866" w:rsidRPr="00BD7FB4" w:rsidRDefault="00597866" w:rsidP="00597866">
            <w:pPr>
              <w:pStyle w:val="TableText"/>
            </w:pPr>
          </w:p>
        </w:tc>
        <w:tc>
          <w:tcPr>
            <w:tcW w:w="492" w:type="pct"/>
            <w:tcBorders>
              <w:left w:val="single" w:sz="2" w:space="0" w:color="B9B9B9"/>
            </w:tcBorders>
          </w:tcPr>
          <w:p w14:paraId="7C018E11" w14:textId="77777777" w:rsidR="00597866" w:rsidRPr="00BD7FB4" w:rsidRDefault="00597866" w:rsidP="00597866">
            <w:pPr>
              <w:pStyle w:val="TableText"/>
            </w:pPr>
          </w:p>
        </w:tc>
      </w:tr>
      <w:tr w:rsidR="00E6110A" w:rsidRPr="00BD7FB4" w14:paraId="14AE5EB7" w14:textId="77777777" w:rsidTr="00E6110A">
        <w:tc>
          <w:tcPr>
            <w:tcW w:w="1215" w:type="pct"/>
            <w:tcBorders>
              <w:right w:val="single" w:sz="2" w:space="0" w:color="B9B9B9"/>
            </w:tcBorders>
          </w:tcPr>
          <w:p w14:paraId="69C2FA82" w14:textId="74557EA4" w:rsidR="00E6110A" w:rsidRPr="00BD7FB4" w:rsidRDefault="00E6110A" w:rsidP="00E6110A">
            <w:pPr>
              <w:pStyle w:val="TableText"/>
            </w:pPr>
            <w:r w:rsidRPr="4E244A5F">
              <w:rPr>
                <w:rFonts w:eastAsia="Arial" w:cs="Arial"/>
                <w:color w:val="0F0F0F" w:themeColor="text1"/>
                <w:szCs w:val="20"/>
              </w:rPr>
              <w:t xml:space="preserve">Gareth </w:t>
            </w:r>
            <w:r w:rsidRPr="41FBA858">
              <w:rPr>
                <w:rFonts w:eastAsia="Arial" w:cs="Arial"/>
                <w:color w:val="0F0F0F" w:themeColor="text1"/>
                <w:szCs w:val="20"/>
              </w:rPr>
              <w:t>Edwards</w:t>
            </w:r>
          </w:p>
        </w:tc>
        <w:tc>
          <w:tcPr>
            <w:tcW w:w="2580" w:type="pct"/>
            <w:tcBorders>
              <w:left w:val="single" w:sz="2" w:space="0" w:color="B9B9B9"/>
              <w:right w:val="single" w:sz="2" w:space="0" w:color="B9B9B9"/>
            </w:tcBorders>
          </w:tcPr>
          <w:p w14:paraId="781129FC" w14:textId="496CDF35" w:rsidR="00E6110A" w:rsidRPr="00BD7FB4" w:rsidRDefault="00E6110A" w:rsidP="00D1276D">
            <w:pPr>
              <w:spacing w:after="0"/>
              <w:rPr>
                <w:rFonts w:cs="Arial"/>
              </w:rPr>
            </w:pPr>
            <w:r w:rsidRPr="41FBA858">
              <w:rPr>
                <w:rFonts w:eastAsia="Arial" w:cs="Arial"/>
                <w:sz w:val="20"/>
                <w:szCs w:val="20"/>
              </w:rPr>
              <w:t>Clinical Lead</w:t>
            </w:r>
            <w:r w:rsidR="00D1276D">
              <w:rPr>
                <w:rFonts w:eastAsia="Arial" w:cs="Arial"/>
                <w:sz w:val="20"/>
                <w:szCs w:val="20"/>
              </w:rPr>
              <w:t xml:space="preserve">, </w:t>
            </w:r>
            <w:r w:rsidRPr="41FBA858">
              <w:rPr>
                <w:rFonts w:eastAsia="Arial" w:cs="Arial"/>
                <w:sz w:val="20"/>
                <w:szCs w:val="20"/>
              </w:rPr>
              <w:t>Digital Operations &amp; Service Management / Digital System Support</w:t>
            </w:r>
            <w:r w:rsidR="00D1276D">
              <w:rPr>
                <w:rFonts w:eastAsia="Arial" w:cs="Arial"/>
                <w:sz w:val="20"/>
                <w:szCs w:val="20"/>
              </w:rPr>
              <w:t xml:space="preserve">, </w:t>
            </w:r>
            <w:r w:rsidRPr="41FBA858">
              <w:rPr>
                <w:rFonts w:eastAsia="Arial" w:cs="Arial"/>
                <w:sz w:val="20"/>
                <w:szCs w:val="20"/>
              </w:rPr>
              <w:t>Digital Clinical Informatics</w:t>
            </w:r>
            <w:r w:rsidR="00D1276D">
              <w:rPr>
                <w:rFonts w:eastAsia="Arial" w:cs="Arial"/>
                <w:sz w:val="20"/>
                <w:szCs w:val="20"/>
              </w:rPr>
              <w:t xml:space="preserve">, </w:t>
            </w:r>
            <w:r w:rsidRPr="41FBA858">
              <w:rPr>
                <w:rFonts w:eastAsia="Arial" w:cs="Arial"/>
                <w:sz w:val="20"/>
                <w:szCs w:val="20"/>
              </w:rPr>
              <w:t>Transformation Directorate</w:t>
            </w:r>
            <w:r w:rsidR="00D1276D">
              <w:rPr>
                <w:rFonts w:eastAsia="Arial" w:cs="Arial"/>
                <w:sz w:val="20"/>
                <w:szCs w:val="20"/>
              </w:rPr>
              <w:t xml:space="preserve">, </w:t>
            </w:r>
            <w:r w:rsidRPr="41FBA858">
              <w:rPr>
                <w:rFonts w:eastAsia="Arial" w:cs="Arial"/>
                <w:sz w:val="20"/>
                <w:szCs w:val="20"/>
              </w:rPr>
              <w:t>NHS England</w:t>
            </w:r>
          </w:p>
        </w:tc>
        <w:tc>
          <w:tcPr>
            <w:tcW w:w="713" w:type="pct"/>
            <w:tcBorders>
              <w:left w:val="single" w:sz="2" w:space="0" w:color="B9B9B9"/>
              <w:right w:val="single" w:sz="2" w:space="0" w:color="B9B9B9"/>
            </w:tcBorders>
          </w:tcPr>
          <w:p w14:paraId="4584A3CE" w14:textId="77777777" w:rsidR="00E6110A" w:rsidRPr="00BD7FB4" w:rsidRDefault="00E6110A" w:rsidP="00E6110A">
            <w:pPr>
              <w:pStyle w:val="TableText"/>
            </w:pPr>
          </w:p>
        </w:tc>
        <w:tc>
          <w:tcPr>
            <w:tcW w:w="492" w:type="pct"/>
            <w:tcBorders>
              <w:left w:val="single" w:sz="2" w:space="0" w:color="B9B9B9"/>
            </w:tcBorders>
          </w:tcPr>
          <w:p w14:paraId="0C8CE809" w14:textId="77777777" w:rsidR="00E6110A" w:rsidRPr="00BD7FB4" w:rsidRDefault="00E6110A" w:rsidP="00E6110A">
            <w:pPr>
              <w:pStyle w:val="TableText"/>
            </w:pPr>
          </w:p>
        </w:tc>
      </w:tr>
      <w:tr w:rsidR="004B201C" w:rsidRPr="00BD7FB4" w14:paraId="00928588" w14:textId="77777777" w:rsidTr="001A307A">
        <w:tc>
          <w:tcPr>
            <w:tcW w:w="1215" w:type="pct"/>
            <w:tcBorders>
              <w:right w:val="single" w:sz="2" w:space="0" w:color="B9B9B9"/>
            </w:tcBorders>
          </w:tcPr>
          <w:p w14:paraId="3A7EF97B" w14:textId="77777777" w:rsidR="004B201C" w:rsidRPr="00625D2F" w:rsidRDefault="004B201C" w:rsidP="004B201C">
            <w:pPr>
              <w:pStyle w:val="TableText"/>
              <w:rPr>
                <w:rFonts w:cs="Arial"/>
              </w:rPr>
            </w:pPr>
            <w:r w:rsidRPr="00625D2F">
              <w:rPr>
                <w:rFonts w:cs="Arial"/>
              </w:rPr>
              <w:t>Zak Bickhan</w:t>
            </w:r>
          </w:p>
          <w:p w14:paraId="1C06816A" w14:textId="77777777" w:rsidR="004B201C" w:rsidRPr="00BD7FB4" w:rsidRDefault="004B201C" w:rsidP="004B201C">
            <w:pPr>
              <w:pStyle w:val="TableText"/>
            </w:pPr>
          </w:p>
        </w:tc>
        <w:tc>
          <w:tcPr>
            <w:tcW w:w="2580" w:type="pct"/>
            <w:tcBorders>
              <w:left w:val="single" w:sz="2" w:space="0" w:color="B9B9B9"/>
              <w:right w:val="single" w:sz="2" w:space="0" w:color="B9B9B9"/>
            </w:tcBorders>
          </w:tcPr>
          <w:p w14:paraId="409F88CA" w14:textId="6CF39DE2" w:rsidR="004B201C" w:rsidRPr="00BD7FB4" w:rsidRDefault="004B201C" w:rsidP="00D1276D">
            <w:pPr>
              <w:pStyle w:val="TableText"/>
              <w:rPr>
                <w:rFonts w:cs="Arial"/>
              </w:rPr>
            </w:pPr>
            <w:r w:rsidRPr="00625D2F">
              <w:rPr>
                <w:rFonts w:cs="Arial"/>
              </w:rPr>
              <w:t>Clinical Informatics Safety Officer</w:t>
            </w:r>
            <w:r w:rsidR="00D1276D">
              <w:rPr>
                <w:rFonts w:cs="Arial"/>
              </w:rPr>
              <w:t>,</w:t>
            </w:r>
            <w:r w:rsidRPr="00625D2F">
              <w:rPr>
                <w:rFonts w:cs="Arial"/>
              </w:rPr>
              <w:t xml:space="preserve"> Assurance</w:t>
            </w:r>
            <w:r w:rsidR="00D1276D">
              <w:rPr>
                <w:rFonts w:cs="Arial"/>
              </w:rPr>
              <w:t xml:space="preserve"> </w:t>
            </w:r>
            <w:r w:rsidRPr="00625D2F">
              <w:rPr>
                <w:rFonts w:cs="Arial"/>
              </w:rPr>
              <w:t>Digital Clinical Informatics</w:t>
            </w:r>
            <w:r w:rsidR="00D1276D">
              <w:rPr>
                <w:rFonts w:cs="Arial"/>
              </w:rPr>
              <w:t>,</w:t>
            </w:r>
            <w:r w:rsidRPr="00625D2F">
              <w:rPr>
                <w:rFonts w:cs="Arial"/>
              </w:rPr>
              <w:t xml:space="preserve"> Safety Team</w:t>
            </w:r>
            <w:r w:rsidR="00D1276D">
              <w:rPr>
                <w:rFonts w:cs="Arial"/>
              </w:rPr>
              <w:t xml:space="preserve">, </w:t>
            </w:r>
            <w:r w:rsidRPr="00625D2F">
              <w:rPr>
                <w:rFonts w:cs="Arial"/>
              </w:rPr>
              <w:t>Transformation Directorate</w:t>
            </w:r>
            <w:r w:rsidR="00D1276D">
              <w:rPr>
                <w:rFonts w:cs="Arial"/>
              </w:rPr>
              <w:t>,</w:t>
            </w:r>
            <w:r w:rsidRPr="00625D2F">
              <w:rPr>
                <w:rFonts w:cs="Arial"/>
              </w:rPr>
              <w:t xml:space="preserve"> NHS England</w:t>
            </w:r>
          </w:p>
        </w:tc>
        <w:tc>
          <w:tcPr>
            <w:tcW w:w="713" w:type="pct"/>
            <w:tcBorders>
              <w:left w:val="single" w:sz="2" w:space="0" w:color="B9B9B9"/>
              <w:right w:val="single" w:sz="2" w:space="0" w:color="B9B9B9"/>
            </w:tcBorders>
          </w:tcPr>
          <w:p w14:paraId="434F7996" w14:textId="77777777" w:rsidR="004B201C" w:rsidRPr="00BD7FB4" w:rsidRDefault="004B201C" w:rsidP="004B201C">
            <w:pPr>
              <w:pStyle w:val="TableText"/>
            </w:pPr>
          </w:p>
        </w:tc>
        <w:tc>
          <w:tcPr>
            <w:tcW w:w="492" w:type="pct"/>
            <w:tcBorders>
              <w:left w:val="single" w:sz="2" w:space="0" w:color="B9B9B9"/>
            </w:tcBorders>
          </w:tcPr>
          <w:p w14:paraId="5AF83EEA" w14:textId="77777777" w:rsidR="004B201C" w:rsidRPr="00BD7FB4" w:rsidRDefault="004B201C" w:rsidP="004B201C">
            <w:pPr>
              <w:pStyle w:val="TableText"/>
            </w:pPr>
          </w:p>
        </w:tc>
      </w:tr>
      <w:tr w:rsidR="004B201C" w:rsidRPr="00BD7FB4" w14:paraId="73DCCF7A" w14:textId="77777777" w:rsidTr="001A307A">
        <w:tc>
          <w:tcPr>
            <w:tcW w:w="1215" w:type="pct"/>
            <w:tcBorders>
              <w:right w:val="single" w:sz="2" w:space="0" w:color="B9B9B9"/>
            </w:tcBorders>
          </w:tcPr>
          <w:p w14:paraId="37C3946E" w14:textId="669BDF5C" w:rsidR="004B201C" w:rsidRPr="00BD7FB4" w:rsidRDefault="004B201C" w:rsidP="004B201C">
            <w:pPr>
              <w:pStyle w:val="TableText"/>
            </w:pPr>
            <w:r>
              <w:t xml:space="preserve">Ian </w:t>
            </w:r>
            <w:r w:rsidR="00013E4F">
              <w:t>Tomlinson</w:t>
            </w:r>
          </w:p>
        </w:tc>
        <w:tc>
          <w:tcPr>
            <w:tcW w:w="2580" w:type="pct"/>
            <w:tcBorders>
              <w:left w:val="single" w:sz="2" w:space="0" w:color="B9B9B9"/>
              <w:right w:val="single" w:sz="2" w:space="0" w:color="B9B9B9"/>
            </w:tcBorders>
          </w:tcPr>
          <w:p w14:paraId="6522062B" w14:textId="5F23B0AC" w:rsidR="004B201C" w:rsidRPr="00BD7FB4" w:rsidRDefault="002675FD" w:rsidP="002675FD">
            <w:pPr>
              <w:pStyle w:val="TableText"/>
              <w:rPr>
                <w:rFonts w:cs="Arial"/>
              </w:rPr>
            </w:pPr>
            <w:r w:rsidRPr="002675FD">
              <w:rPr>
                <w:rFonts w:cs="Arial"/>
              </w:rPr>
              <w:t>Lead Safety Enginee</w:t>
            </w:r>
            <w:r>
              <w:rPr>
                <w:rFonts w:cs="Arial"/>
              </w:rPr>
              <w:t xml:space="preserve">r, </w:t>
            </w:r>
            <w:r w:rsidR="00013E4F" w:rsidRPr="00625D2F">
              <w:rPr>
                <w:rFonts w:cs="Arial"/>
              </w:rPr>
              <w:t>Assurance</w:t>
            </w:r>
            <w:r w:rsidR="0078371C">
              <w:rPr>
                <w:rFonts w:cs="Arial"/>
              </w:rPr>
              <w:t xml:space="preserve"> </w:t>
            </w:r>
            <w:r w:rsidR="00013E4F" w:rsidRPr="00625D2F">
              <w:rPr>
                <w:rFonts w:cs="Arial"/>
              </w:rPr>
              <w:t>Digital Clinical Informatics</w:t>
            </w:r>
            <w:r>
              <w:rPr>
                <w:rFonts w:cs="Arial"/>
              </w:rPr>
              <w:t>,</w:t>
            </w:r>
            <w:r w:rsidR="00013E4F" w:rsidRPr="00625D2F">
              <w:rPr>
                <w:rFonts w:cs="Arial"/>
              </w:rPr>
              <w:t xml:space="preserve"> Safety Team</w:t>
            </w:r>
            <w:r>
              <w:rPr>
                <w:rFonts w:cs="Arial"/>
              </w:rPr>
              <w:t xml:space="preserve">, </w:t>
            </w:r>
            <w:r w:rsidR="00013E4F" w:rsidRPr="00625D2F">
              <w:rPr>
                <w:rFonts w:cs="Arial"/>
              </w:rPr>
              <w:t>Transformation Directorate</w:t>
            </w:r>
            <w:r w:rsidR="00D1276D">
              <w:rPr>
                <w:rFonts w:cs="Arial"/>
              </w:rPr>
              <w:t>,</w:t>
            </w:r>
            <w:r w:rsidR="00013E4F" w:rsidRPr="00625D2F">
              <w:rPr>
                <w:rFonts w:cs="Arial"/>
              </w:rPr>
              <w:t xml:space="preserve"> NHS England</w:t>
            </w:r>
          </w:p>
        </w:tc>
        <w:tc>
          <w:tcPr>
            <w:tcW w:w="713" w:type="pct"/>
            <w:tcBorders>
              <w:left w:val="single" w:sz="2" w:space="0" w:color="B9B9B9"/>
              <w:right w:val="single" w:sz="2" w:space="0" w:color="B9B9B9"/>
            </w:tcBorders>
          </w:tcPr>
          <w:p w14:paraId="65538107" w14:textId="77777777" w:rsidR="004B201C" w:rsidRPr="00BD7FB4" w:rsidRDefault="004B201C" w:rsidP="004B201C">
            <w:pPr>
              <w:pStyle w:val="TableText"/>
            </w:pPr>
          </w:p>
        </w:tc>
        <w:tc>
          <w:tcPr>
            <w:tcW w:w="492" w:type="pct"/>
            <w:tcBorders>
              <w:left w:val="single" w:sz="2" w:space="0" w:color="B9B9B9"/>
            </w:tcBorders>
          </w:tcPr>
          <w:p w14:paraId="4F89C87A" w14:textId="77777777" w:rsidR="004B201C" w:rsidRPr="00BD7FB4" w:rsidRDefault="004B201C" w:rsidP="004B201C">
            <w:pPr>
              <w:pStyle w:val="TableText"/>
            </w:pPr>
          </w:p>
        </w:tc>
      </w:tr>
    </w:tbl>
    <w:p w14:paraId="6ACCE167" w14:textId="77777777" w:rsidR="00B4378A" w:rsidRPr="00BD7FB4" w:rsidRDefault="00B4378A" w:rsidP="00B4378A">
      <w:pPr>
        <w:rPr>
          <w:sz w:val="16"/>
          <w:szCs w:val="16"/>
        </w:rPr>
      </w:pPr>
    </w:p>
    <w:p w14:paraId="50F02E58" w14:textId="77777777" w:rsidR="00B4378A" w:rsidRPr="00BD7FB4" w:rsidRDefault="00B4378A" w:rsidP="00B4378A">
      <w:pPr>
        <w:pStyle w:val="DocMgmtSubhead"/>
        <w:rPr>
          <w:color w:val="005EB8" w:themeColor="accent1"/>
          <w:sz w:val="22"/>
        </w:rPr>
      </w:pPr>
      <w:bookmarkStart w:id="4" w:name="_Toc350847282"/>
      <w:bookmarkStart w:id="5" w:name="_Toc350847326"/>
      <w:r w:rsidRPr="00BD7FB4">
        <w:rPr>
          <w:color w:val="005EB8" w:themeColor="accent1"/>
          <w:sz w:val="22"/>
        </w:rPr>
        <w:t>Approved by</w:t>
      </w:r>
      <w:bookmarkEnd w:id="4"/>
      <w:bookmarkEnd w:id="5"/>
    </w:p>
    <w:p w14:paraId="292EBE9C" w14:textId="77777777" w:rsidR="00B4378A" w:rsidRPr="00BD7FB4" w:rsidRDefault="00B4378A" w:rsidP="00B4378A">
      <w:r w:rsidRPr="00BD7FB4">
        <w:t xml:space="preserve">This document must be approved by </w:t>
      </w:r>
      <w:r w:rsidR="00EB7ACA" w:rsidRPr="00BD7FB4">
        <w:t>the</w:t>
      </w:r>
      <w:r w:rsidRPr="00BD7FB4">
        <w:t xml:space="preserve"> following people: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B4378A" w:rsidRPr="00BD7FB4" w14:paraId="3B880939" w14:textId="77777777" w:rsidTr="001949F6">
        <w:trPr>
          <w:trHeight w:val="290"/>
        </w:trPr>
        <w:tc>
          <w:tcPr>
            <w:tcW w:w="1214" w:type="pct"/>
            <w:tcBorders>
              <w:top w:val="single" w:sz="2" w:space="0" w:color="000000"/>
              <w:bottom w:val="single" w:sz="2" w:space="0" w:color="000000"/>
            </w:tcBorders>
          </w:tcPr>
          <w:p w14:paraId="01533BF2" w14:textId="77777777" w:rsidR="00B4378A" w:rsidRPr="00BD7FB4" w:rsidRDefault="00B4378A" w:rsidP="001949F6">
            <w:pPr>
              <w:pStyle w:val="TableHeader"/>
            </w:pPr>
            <w:r w:rsidRPr="00BD7FB4">
              <w:t>Name</w:t>
            </w:r>
          </w:p>
        </w:tc>
        <w:tc>
          <w:tcPr>
            <w:tcW w:w="2571" w:type="pct"/>
            <w:tcBorders>
              <w:top w:val="single" w:sz="2" w:space="0" w:color="000000"/>
              <w:bottom w:val="single" w:sz="2" w:space="0" w:color="000000"/>
            </w:tcBorders>
          </w:tcPr>
          <w:p w14:paraId="712F5B26" w14:textId="77777777" w:rsidR="00B4378A" w:rsidRPr="00BD7FB4" w:rsidRDefault="00B4378A" w:rsidP="001949F6">
            <w:pPr>
              <w:pStyle w:val="TableHeader"/>
            </w:pPr>
            <w:r w:rsidRPr="00BD7FB4">
              <w:t>Title</w:t>
            </w:r>
          </w:p>
        </w:tc>
        <w:tc>
          <w:tcPr>
            <w:tcW w:w="715" w:type="pct"/>
            <w:tcBorders>
              <w:top w:val="single" w:sz="2" w:space="0" w:color="000000"/>
              <w:bottom w:val="single" w:sz="2" w:space="0" w:color="000000"/>
            </w:tcBorders>
          </w:tcPr>
          <w:p w14:paraId="40C8AF66" w14:textId="77777777" w:rsidR="00B4378A" w:rsidRPr="00BD7FB4" w:rsidRDefault="00B4378A" w:rsidP="001949F6">
            <w:pPr>
              <w:pStyle w:val="TableHeader"/>
            </w:pPr>
            <w:r w:rsidRPr="00BD7FB4">
              <w:t xml:space="preserve">Date </w:t>
            </w:r>
          </w:p>
        </w:tc>
        <w:tc>
          <w:tcPr>
            <w:tcW w:w="500" w:type="pct"/>
            <w:tcBorders>
              <w:top w:val="single" w:sz="2" w:space="0" w:color="000000"/>
              <w:bottom w:val="single" w:sz="2" w:space="0" w:color="000000"/>
            </w:tcBorders>
          </w:tcPr>
          <w:p w14:paraId="6DFDC554" w14:textId="77777777" w:rsidR="00B4378A" w:rsidRPr="00BD7FB4" w:rsidRDefault="00B4378A" w:rsidP="001949F6">
            <w:pPr>
              <w:pStyle w:val="TableHeader"/>
            </w:pPr>
            <w:r w:rsidRPr="00BD7FB4">
              <w:t>Version</w:t>
            </w:r>
          </w:p>
        </w:tc>
      </w:tr>
      <w:tr w:rsidR="00423B65" w:rsidRPr="00BD7FB4" w14:paraId="709C5ABF" w14:textId="77777777" w:rsidTr="001949F6">
        <w:trPr>
          <w:trHeight w:val="290"/>
        </w:trPr>
        <w:tc>
          <w:tcPr>
            <w:tcW w:w="1214" w:type="pct"/>
            <w:tcBorders>
              <w:top w:val="single" w:sz="2" w:space="0" w:color="000000"/>
              <w:bottom w:val="single" w:sz="2" w:space="0" w:color="000000"/>
              <w:right w:val="single" w:sz="2" w:space="0" w:color="B9B9B9"/>
            </w:tcBorders>
          </w:tcPr>
          <w:p w14:paraId="6CD6A426" w14:textId="33E2DA4D" w:rsidR="00423B65" w:rsidRPr="00BD7FB4" w:rsidRDefault="00423B65" w:rsidP="00423B65">
            <w:pPr>
              <w:pStyle w:val="TableText"/>
              <w:rPr>
                <w:szCs w:val="20"/>
              </w:rPr>
            </w:pPr>
            <w:r w:rsidRPr="41FBA858">
              <w:rPr>
                <w:rFonts w:eastAsia="Arial" w:cs="Arial"/>
                <w:szCs w:val="20"/>
              </w:rPr>
              <w:t>Joseph Barnett</w:t>
            </w:r>
          </w:p>
        </w:tc>
        <w:tc>
          <w:tcPr>
            <w:tcW w:w="2571" w:type="pct"/>
            <w:tcBorders>
              <w:top w:val="single" w:sz="2" w:space="0" w:color="000000"/>
              <w:left w:val="single" w:sz="2" w:space="0" w:color="B9B9B9"/>
              <w:bottom w:val="single" w:sz="2" w:space="0" w:color="000000"/>
              <w:right w:val="single" w:sz="2" w:space="0" w:color="B9B9B9"/>
            </w:tcBorders>
          </w:tcPr>
          <w:p w14:paraId="6E2E1C3A" w14:textId="27A005CF" w:rsidR="00423B65" w:rsidRPr="007C285A" w:rsidRDefault="00423B65" w:rsidP="00423B65">
            <w:pPr>
              <w:pStyle w:val="TableText"/>
              <w:spacing w:before="0" w:after="0" w:line="240" w:lineRule="auto"/>
              <w:rPr>
                <w:rFonts w:eastAsia="Arial" w:cs="Arial"/>
                <w:szCs w:val="20"/>
              </w:rPr>
            </w:pPr>
            <w:r w:rsidRPr="41FBA858">
              <w:rPr>
                <w:rFonts w:eastAsia="Arial" w:cs="Arial"/>
                <w:szCs w:val="20"/>
              </w:rPr>
              <w:t>Clinical Lead, NHS England. Consultant Radiologist, Royal Free NHS Foundation Trust.</w:t>
            </w:r>
          </w:p>
          <w:p w14:paraId="01643AD9" w14:textId="3F9A8FB4" w:rsidR="00423B65" w:rsidRPr="00BD7FB4" w:rsidRDefault="00423B65" w:rsidP="00423B65">
            <w:pPr>
              <w:pStyle w:val="TableText"/>
              <w:rPr>
                <w:szCs w:val="20"/>
              </w:rPr>
            </w:pPr>
            <w:r w:rsidRPr="41FBA858">
              <w:rPr>
                <w:rFonts w:eastAsia="Arial" w:cs="Arial"/>
                <w:szCs w:val="20"/>
              </w:rPr>
              <w:t xml:space="preserve">National </w:t>
            </w:r>
            <w:r w:rsidR="00E6110A">
              <w:rPr>
                <w:rFonts w:eastAsia="Arial" w:cs="Arial"/>
                <w:szCs w:val="20"/>
              </w:rPr>
              <w:t>Speciality Advisor for Imaging (AI and Digital),</w:t>
            </w:r>
            <w:r w:rsidRPr="41FBA858">
              <w:rPr>
                <w:rFonts w:eastAsia="Arial" w:cs="Arial"/>
                <w:szCs w:val="20"/>
              </w:rPr>
              <w:t xml:space="preserve"> NHS England.</w:t>
            </w:r>
          </w:p>
        </w:tc>
        <w:tc>
          <w:tcPr>
            <w:tcW w:w="715" w:type="pct"/>
            <w:tcBorders>
              <w:top w:val="single" w:sz="2" w:space="0" w:color="000000"/>
              <w:left w:val="single" w:sz="2" w:space="0" w:color="B9B9B9"/>
              <w:bottom w:val="single" w:sz="2" w:space="0" w:color="000000"/>
              <w:right w:val="single" w:sz="2" w:space="0" w:color="B9B9B9"/>
            </w:tcBorders>
          </w:tcPr>
          <w:p w14:paraId="7D323FD0" w14:textId="1B71273D" w:rsidR="00423B65" w:rsidRPr="00BD7FB4" w:rsidRDefault="00760321" w:rsidP="00423B65">
            <w:pPr>
              <w:pStyle w:val="TableText"/>
            </w:pPr>
            <w:r>
              <w:t>24.04.2026</w:t>
            </w:r>
          </w:p>
        </w:tc>
        <w:tc>
          <w:tcPr>
            <w:tcW w:w="500" w:type="pct"/>
            <w:tcBorders>
              <w:top w:val="single" w:sz="2" w:space="0" w:color="000000"/>
              <w:left w:val="single" w:sz="2" w:space="0" w:color="B9B9B9"/>
              <w:bottom w:val="single" w:sz="2" w:space="0" w:color="000000"/>
            </w:tcBorders>
          </w:tcPr>
          <w:p w14:paraId="0BC71C7B" w14:textId="0E86ADDC" w:rsidR="00423B65" w:rsidRPr="00BD7FB4" w:rsidRDefault="00760321" w:rsidP="00423B65">
            <w:pPr>
              <w:pStyle w:val="TableText"/>
            </w:pPr>
            <w:r>
              <w:t>0.7</w:t>
            </w:r>
          </w:p>
        </w:tc>
      </w:tr>
      <w:tr w:rsidR="00B4378A" w:rsidRPr="00BD7FB4" w14:paraId="7A08F5A5" w14:textId="77777777" w:rsidTr="001949F6">
        <w:trPr>
          <w:trHeight w:val="290"/>
        </w:trPr>
        <w:tc>
          <w:tcPr>
            <w:tcW w:w="1214" w:type="pct"/>
            <w:tcBorders>
              <w:top w:val="single" w:sz="2" w:space="0" w:color="000000"/>
              <w:bottom w:val="single" w:sz="2" w:space="0" w:color="000000"/>
              <w:right w:val="single" w:sz="2" w:space="0" w:color="B9B9B9"/>
            </w:tcBorders>
          </w:tcPr>
          <w:p w14:paraId="395236D7" w14:textId="6A23A281" w:rsidR="00B4378A" w:rsidRPr="00BD7FB4" w:rsidRDefault="005852C1" w:rsidP="001949F6">
            <w:pPr>
              <w:pStyle w:val="TableText"/>
              <w:rPr>
                <w:szCs w:val="20"/>
              </w:rPr>
            </w:pPr>
            <w:r>
              <w:rPr>
                <w:szCs w:val="20"/>
              </w:rPr>
              <w:t xml:space="preserve">Savan </w:t>
            </w:r>
            <w:r w:rsidR="004A1588">
              <w:rPr>
                <w:szCs w:val="20"/>
              </w:rPr>
              <w:t>Shah</w:t>
            </w:r>
            <w:r w:rsidR="002A41C4" w:rsidRPr="00BD7FB4">
              <w:rPr>
                <w:szCs w:val="20"/>
              </w:rPr>
              <w:t xml:space="preserve">  </w:t>
            </w:r>
          </w:p>
        </w:tc>
        <w:tc>
          <w:tcPr>
            <w:tcW w:w="2571" w:type="pct"/>
            <w:tcBorders>
              <w:top w:val="single" w:sz="2" w:space="0" w:color="000000"/>
              <w:left w:val="single" w:sz="2" w:space="0" w:color="B9B9B9"/>
              <w:bottom w:val="single" w:sz="2" w:space="0" w:color="000000"/>
              <w:right w:val="single" w:sz="2" w:space="0" w:color="B9B9B9"/>
            </w:tcBorders>
          </w:tcPr>
          <w:p w14:paraId="220EADD9" w14:textId="39CD2C3D" w:rsidR="00B4378A" w:rsidRPr="00EC0575" w:rsidRDefault="00936546" w:rsidP="001949F6">
            <w:pPr>
              <w:pStyle w:val="TableText"/>
            </w:pPr>
            <w:r w:rsidRPr="00EC0575">
              <w:rPr>
                <w:rFonts w:asciiTheme="majorHAnsi" w:hAnsiTheme="majorHAnsi" w:cstheme="majorHAnsi"/>
                <w:color w:val="0F0F0F" w:themeColor="text1"/>
                <w:szCs w:val="20"/>
              </w:rPr>
              <w:t>Clinical Safety Officer, ETHOS Ltd</w:t>
            </w:r>
            <w:r w:rsidR="00865329" w:rsidRPr="00EC0575">
              <w:t>.</w:t>
            </w:r>
          </w:p>
        </w:tc>
        <w:tc>
          <w:tcPr>
            <w:tcW w:w="715" w:type="pct"/>
            <w:tcBorders>
              <w:top w:val="single" w:sz="2" w:space="0" w:color="000000"/>
              <w:left w:val="single" w:sz="2" w:space="0" w:color="B9B9B9"/>
              <w:bottom w:val="single" w:sz="2" w:space="0" w:color="000000"/>
              <w:right w:val="single" w:sz="2" w:space="0" w:color="B9B9B9"/>
            </w:tcBorders>
          </w:tcPr>
          <w:p w14:paraId="28302C35" w14:textId="593F18D9" w:rsidR="00B4378A" w:rsidRPr="00BD7FB4" w:rsidRDefault="00760321" w:rsidP="001949F6">
            <w:pPr>
              <w:pStyle w:val="TableText"/>
            </w:pPr>
            <w:r>
              <w:t>24.04.2026</w:t>
            </w:r>
          </w:p>
        </w:tc>
        <w:tc>
          <w:tcPr>
            <w:tcW w:w="500" w:type="pct"/>
            <w:tcBorders>
              <w:top w:val="single" w:sz="2" w:space="0" w:color="000000"/>
              <w:left w:val="single" w:sz="2" w:space="0" w:color="B9B9B9"/>
              <w:bottom w:val="single" w:sz="2" w:space="0" w:color="000000"/>
            </w:tcBorders>
          </w:tcPr>
          <w:p w14:paraId="5B1CC6F1" w14:textId="5FC89375" w:rsidR="00B4378A" w:rsidRPr="00BD7FB4" w:rsidRDefault="00760321" w:rsidP="001949F6">
            <w:pPr>
              <w:pStyle w:val="TableText"/>
            </w:pPr>
            <w:r>
              <w:t>0.7</w:t>
            </w:r>
          </w:p>
        </w:tc>
      </w:tr>
      <w:tr w:rsidR="00BB5D9D" w:rsidRPr="00BD7FB4" w14:paraId="75E2A7BE" w14:textId="77777777" w:rsidTr="001949F6">
        <w:trPr>
          <w:trHeight w:val="290"/>
        </w:trPr>
        <w:tc>
          <w:tcPr>
            <w:tcW w:w="1214" w:type="pct"/>
            <w:tcBorders>
              <w:top w:val="single" w:sz="2" w:space="0" w:color="000000"/>
              <w:bottom w:val="single" w:sz="2" w:space="0" w:color="000000"/>
              <w:right w:val="single" w:sz="2" w:space="0" w:color="B9B9B9"/>
            </w:tcBorders>
          </w:tcPr>
          <w:p w14:paraId="69B85BFB" w14:textId="1B48603A" w:rsidR="00BB5D9D" w:rsidRDefault="00A40BD4" w:rsidP="00BB5D9D">
            <w:pPr>
              <w:pStyle w:val="TableText"/>
              <w:rPr>
                <w:szCs w:val="20"/>
              </w:rPr>
            </w:pPr>
            <w:r>
              <w:t>NHS Clinical Safety Group</w:t>
            </w:r>
          </w:p>
        </w:tc>
        <w:tc>
          <w:tcPr>
            <w:tcW w:w="2571" w:type="pct"/>
            <w:tcBorders>
              <w:top w:val="single" w:sz="2" w:space="0" w:color="000000"/>
              <w:left w:val="single" w:sz="2" w:space="0" w:color="B9B9B9"/>
              <w:bottom w:val="single" w:sz="2" w:space="0" w:color="000000"/>
              <w:right w:val="single" w:sz="2" w:space="0" w:color="B9B9B9"/>
            </w:tcBorders>
          </w:tcPr>
          <w:p w14:paraId="60AD9708" w14:textId="62F5573F" w:rsidR="00BB5D9D" w:rsidRPr="00EC0575" w:rsidRDefault="00A40BD4" w:rsidP="00BB5D9D">
            <w:pPr>
              <w:pStyle w:val="TableText"/>
              <w:rPr>
                <w:rFonts w:asciiTheme="majorHAnsi" w:hAnsiTheme="majorHAnsi" w:cstheme="majorHAnsi"/>
                <w:color w:val="0F0F0F" w:themeColor="text1"/>
                <w:szCs w:val="20"/>
              </w:rPr>
            </w:pPr>
            <w:r>
              <w:rPr>
                <w:rFonts w:cs="Arial"/>
              </w:rPr>
              <w:t>Clinical Safety Group,</w:t>
            </w:r>
            <w:r w:rsidR="00BB5D9D" w:rsidRPr="00EC0575">
              <w:rPr>
                <w:rFonts w:cs="Arial"/>
              </w:rPr>
              <w:t xml:space="preserve"> Assurance Digital Clinical Informatics, Safety Team, Transformation Directorate, NHS England</w:t>
            </w:r>
          </w:p>
        </w:tc>
        <w:tc>
          <w:tcPr>
            <w:tcW w:w="715" w:type="pct"/>
            <w:tcBorders>
              <w:top w:val="single" w:sz="2" w:space="0" w:color="000000"/>
              <w:left w:val="single" w:sz="2" w:space="0" w:color="B9B9B9"/>
              <w:bottom w:val="single" w:sz="2" w:space="0" w:color="000000"/>
              <w:right w:val="single" w:sz="2" w:space="0" w:color="B9B9B9"/>
            </w:tcBorders>
          </w:tcPr>
          <w:p w14:paraId="7E87E87E" w14:textId="77777777" w:rsidR="00BB5D9D" w:rsidRPr="00BD7FB4" w:rsidRDefault="00BB5D9D" w:rsidP="00BB5D9D">
            <w:pPr>
              <w:pStyle w:val="TableText"/>
            </w:pPr>
          </w:p>
        </w:tc>
        <w:tc>
          <w:tcPr>
            <w:tcW w:w="500" w:type="pct"/>
            <w:tcBorders>
              <w:top w:val="single" w:sz="2" w:space="0" w:color="000000"/>
              <w:left w:val="single" w:sz="2" w:space="0" w:color="B9B9B9"/>
              <w:bottom w:val="single" w:sz="2" w:space="0" w:color="000000"/>
            </w:tcBorders>
          </w:tcPr>
          <w:p w14:paraId="3EEF1AC4" w14:textId="77777777" w:rsidR="00BB5D9D" w:rsidRPr="00BD7FB4" w:rsidRDefault="00BB5D9D" w:rsidP="00BB5D9D">
            <w:pPr>
              <w:pStyle w:val="TableText"/>
            </w:pPr>
          </w:p>
        </w:tc>
      </w:tr>
    </w:tbl>
    <w:p w14:paraId="44C4C2F0" w14:textId="77777777" w:rsidR="00B4378A" w:rsidRPr="00BD7FB4" w:rsidRDefault="00B4378A" w:rsidP="00B4378A">
      <w:pPr>
        <w:pStyle w:val="DocMgmtSubhead"/>
        <w:rPr>
          <w:color w:val="005EB8" w:themeColor="accent1"/>
          <w:sz w:val="16"/>
          <w:szCs w:val="16"/>
        </w:rPr>
      </w:pPr>
    </w:p>
    <w:p w14:paraId="4B773EBD" w14:textId="77777777" w:rsidR="00B4378A" w:rsidRPr="00BD7FB4" w:rsidRDefault="00B4378A" w:rsidP="00B4378A">
      <w:pPr>
        <w:pStyle w:val="DocMgmtSubhead"/>
        <w:rPr>
          <w:color w:val="005EB8" w:themeColor="accent1"/>
          <w:sz w:val="16"/>
          <w:szCs w:val="16"/>
        </w:rPr>
      </w:pPr>
    </w:p>
    <w:p w14:paraId="69C3AAED" w14:textId="77777777" w:rsidR="003B15D5" w:rsidRPr="00BD7FB4" w:rsidRDefault="003B15D5" w:rsidP="00B4378A">
      <w:pPr>
        <w:pStyle w:val="DocMgmtSubhead"/>
        <w:rPr>
          <w:color w:val="005EB8" w:themeColor="accent1"/>
          <w:sz w:val="22"/>
        </w:rPr>
        <w:sectPr w:rsidR="003B15D5" w:rsidRPr="00BD7FB4" w:rsidSect="00746D5C">
          <w:headerReference w:type="default" r:id="rId15"/>
          <w:pgSz w:w="11906" w:h="16838"/>
          <w:pgMar w:top="1021" w:right="1021" w:bottom="1021" w:left="1021" w:header="454" w:footer="557" w:gutter="0"/>
          <w:cols w:space="708"/>
          <w:docGrid w:linePitch="360"/>
        </w:sectPr>
      </w:pPr>
    </w:p>
    <w:p w14:paraId="38AEB26D" w14:textId="77777777" w:rsidR="00B4378A" w:rsidRPr="004E4FEE" w:rsidRDefault="00B4378A" w:rsidP="00B4378A">
      <w:pPr>
        <w:pStyle w:val="DocMgmtSubhead"/>
        <w:rPr>
          <w:color w:val="005EB8" w:themeColor="accent1"/>
          <w:sz w:val="24"/>
          <w:szCs w:val="32"/>
        </w:rPr>
      </w:pPr>
      <w:bookmarkStart w:id="6" w:name="_Hlk208308253"/>
      <w:r w:rsidRPr="004E4FEE">
        <w:rPr>
          <w:color w:val="005EB8" w:themeColor="accent1"/>
          <w:sz w:val="24"/>
          <w:szCs w:val="32"/>
        </w:rPr>
        <w:lastRenderedPageBreak/>
        <w:t>Related Documents</w:t>
      </w:r>
    </w:p>
    <w:p w14:paraId="33833DA6" w14:textId="77777777" w:rsidR="00E852C1" w:rsidRDefault="00EB7ACA" w:rsidP="00E852C1">
      <w:pPr>
        <w:tabs>
          <w:tab w:val="left" w:pos="4111"/>
        </w:tabs>
      </w:pPr>
      <w:r w:rsidRPr="00BD7FB4">
        <w:t>The</w:t>
      </w:r>
      <w:r w:rsidR="00B4378A" w:rsidRPr="00BD7FB4">
        <w:t>se documents provide additional information and are specifically referenced within this document.</w:t>
      </w:r>
      <w:r w:rsidR="001F2F2C" w:rsidRPr="00BD7FB4">
        <w:t xml:space="preserve"> Links to documentation have been provided where available and were accurate at </w:t>
      </w:r>
      <w:r w:rsidR="003702C5">
        <w:t xml:space="preserve">the </w:t>
      </w:r>
      <w:r w:rsidR="001F2F2C" w:rsidRPr="00BD7FB4">
        <w:t xml:space="preserve">time of issue of this </w:t>
      </w:r>
      <w:bookmarkEnd w:id="6"/>
      <w:r w:rsidR="00E852C1" w:rsidRPr="00BD7FB4">
        <w:t>report.</w:t>
      </w:r>
    </w:p>
    <w:tbl>
      <w:tblPr>
        <w:tblW w:w="4804" w:type="pct"/>
        <w:tblInd w:w="108" w:type="dxa"/>
        <w:tblBorders>
          <w:top w:val="single" w:sz="2" w:space="0" w:color="B9B9B9"/>
          <w:bottom w:val="single" w:sz="2" w:space="0" w:color="B9B9B9"/>
          <w:insideH w:val="single" w:sz="2" w:space="0" w:color="B9B9B9"/>
        </w:tblBorders>
        <w:tblLayout w:type="fixed"/>
        <w:tblLook w:val="0000" w:firstRow="0" w:lastRow="0" w:firstColumn="0" w:lastColumn="0" w:noHBand="0" w:noVBand="0"/>
      </w:tblPr>
      <w:tblGrid>
        <w:gridCol w:w="559"/>
        <w:gridCol w:w="7555"/>
        <w:gridCol w:w="1363"/>
      </w:tblGrid>
      <w:tr w:rsidR="00CB7118" w:rsidRPr="00952092" w14:paraId="4CD82A0F" w14:textId="77777777" w:rsidTr="00291F11">
        <w:trPr>
          <w:cantSplit/>
          <w:trHeight w:val="290"/>
          <w:tblHeader/>
        </w:trPr>
        <w:tc>
          <w:tcPr>
            <w:tcW w:w="295" w:type="pct"/>
            <w:tcBorders>
              <w:top w:val="single" w:sz="2" w:space="0" w:color="000000"/>
              <w:bottom w:val="single" w:sz="2" w:space="0" w:color="000000"/>
            </w:tcBorders>
          </w:tcPr>
          <w:p w14:paraId="4CE0E8EA" w14:textId="77777777" w:rsidR="00CB7118" w:rsidRPr="00952092" w:rsidRDefault="00CB7118" w:rsidP="008F3C4B">
            <w:pPr>
              <w:pStyle w:val="TableHeader"/>
            </w:pPr>
            <w:r w:rsidRPr="00952092">
              <w:t xml:space="preserve">Ref </w:t>
            </w:r>
          </w:p>
        </w:tc>
        <w:tc>
          <w:tcPr>
            <w:tcW w:w="3986" w:type="pct"/>
            <w:tcBorders>
              <w:top w:val="single" w:sz="2" w:space="0" w:color="000000"/>
              <w:bottom w:val="single" w:sz="2" w:space="0" w:color="000000"/>
            </w:tcBorders>
          </w:tcPr>
          <w:p w14:paraId="16E20F82" w14:textId="6F8C2449" w:rsidR="00CB7118" w:rsidRPr="00D3106F" w:rsidRDefault="00CB7118" w:rsidP="008F3C4B">
            <w:pPr>
              <w:rPr>
                <w:b/>
                <w:bCs/>
              </w:rPr>
            </w:pPr>
            <w:r w:rsidRPr="00D3106F">
              <w:rPr>
                <w:b/>
                <w:bCs/>
              </w:rPr>
              <w:t>Title</w:t>
            </w:r>
            <w:r w:rsidR="00621909">
              <w:rPr>
                <w:b/>
                <w:bCs/>
              </w:rPr>
              <w:t xml:space="preserve"> (NIR Confluence Link) </w:t>
            </w:r>
          </w:p>
        </w:tc>
        <w:tc>
          <w:tcPr>
            <w:tcW w:w="719" w:type="pct"/>
            <w:tcBorders>
              <w:top w:val="single" w:sz="2" w:space="0" w:color="000000"/>
              <w:bottom w:val="single" w:sz="2" w:space="0" w:color="000000"/>
            </w:tcBorders>
          </w:tcPr>
          <w:p w14:paraId="7979B315" w14:textId="77777777" w:rsidR="00CB7118" w:rsidRPr="00952092" w:rsidRDefault="00CB7118" w:rsidP="008F3C4B">
            <w:pPr>
              <w:pStyle w:val="TableHeader"/>
            </w:pPr>
            <w:r w:rsidRPr="00952092">
              <w:t>Version</w:t>
            </w:r>
          </w:p>
        </w:tc>
      </w:tr>
      <w:tr w:rsidR="00CB7118" w:rsidRPr="00952092" w14:paraId="66ACC544" w14:textId="77777777" w:rsidTr="00291F11">
        <w:trPr>
          <w:cantSplit/>
          <w:trHeight w:val="290"/>
        </w:trPr>
        <w:tc>
          <w:tcPr>
            <w:tcW w:w="295" w:type="pct"/>
            <w:tcBorders>
              <w:right w:val="single" w:sz="2" w:space="0" w:color="B9B9B9"/>
            </w:tcBorders>
          </w:tcPr>
          <w:p w14:paraId="1BD25DFD" w14:textId="77777777" w:rsidR="00CB7118" w:rsidRPr="00952092" w:rsidRDefault="00CB7118" w:rsidP="008F3C4B">
            <w:pPr>
              <w:pStyle w:val="TableText"/>
              <w:jc w:val="center"/>
            </w:pPr>
            <w:r>
              <w:t>1</w:t>
            </w:r>
          </w:p>
        </w:tc>
        <w:tc>
          <w:tcPr>
            <w:tcW w:w="3986" w:type="pct"/>
            <w:tcBorders>
              <w:left w:val="single" w:sz="2" w:space="0" w:color="B9B9B9"/>
              <w:right w:val="single" w:sz="2" w:space="0" w:color="B9B9B9"/>
            </w:tcBorders>
          </w:tcPr>
          <w:p w14:paraId="0B80C00B" w14:textId="77777777" w:rsidR="00CB7118" w:rsidRPr="00D3106F" w:rsidRDefault="00CB7118" w:rsidP="008F3C4B">
            <w:pPr>
              <w:rPr>
                <w:b/>
                <w:bCs/>
                <w:color w:val="00B050"/>
              </w:rPr>
            </w:pPr>
            <w:r w:rsidRPr="009C71A0">
              <w:t>NHS Standard:</w:t>
            </w:r>
            <w:r w:rsidRPr="00D3106F">
              <w:rPr>
                <w:b/>
                <w:bCs/>
              </w:rPr>
              <w:t xml:space="preserve"> </w:t>
            </w:r>
            <w:r w:rsidRPr="00D3106F">
              <w:rPr>
                <w:rStyle w:val="Strong"/>
                <w:b w:val="0"/>
                <w:bCs w:val="0"/>
              </w:rPr>
              <w:t>DCB 0129 – Clinical Risk Management: its Application in the Manufacture of Health IT Systems – Specification</w:t>
            </w:r>
          </w:p>
        </w:tc>
        <w:tc>
          <w:tcPr>
            <w:tcW w:w="719" w:type="pct"/>
            <w:tcBorders>
              <w:left w:val="single" w:sz="2" w:space="0" w:color="B9B9B9"/>
            </w:tcBorders>
            <w:tcMar>
              <w:left w:w="28" w:type="dxa"/>
              <w:right w:w="28" w:type="dxa"/>
            </w:tcMar>
          </w:tcPr>
          <w:p w14:paraId="65541B6B" w14:textId="77777777" w:rsidR="00CB7118" w:rsidRPr="00952092" w:rsidRDefault="00CB7118" w:rsidP="008F3C4B">
            <w:pPr>
              <w:pStyle w:val="TableText"/>
              <w:jc w:val="center"/>
            </w:pPr>
            <w:r w:rsidRPr="00952092">
              <w:t>V3.2</w:t>
            </w:r>
          </w:p>
        </w:tc>
      </w:tr>
      <w:tr w:rsidR="00CB7118" w:rsidRPr="00952092" w14:paraId="0DB45915" w14:textId="77777777" w:rsidTr="00291F11">
        <w:trPr>
          <w:cantSplit/>
          <w:trHeight w:val="290"/>
        </w:trPr>
        <w:tc>
          <w:tcPr>
            <w:tcW w:w="295" w:type="pct"/>
            <w:tcBorders>
              <w:right w:val="single" w:sz="2" w:space="0" w:color="B9B9B9"/>
            </w:tcBorders>
          </w:tcPr>
          <w:p w14:paraId="0D18A30A" w14:textId="77777777" w:rsidR="00CB7118" w:rsidRPr="00952092" w:rsidRDefault="00CB7118" w:rsidP="008F3C4B">
            <w:pPr>
              <w:pStyle w:val="TableText"/>
              <w:jc w:val="center"/>
            </w:pPr>
            <w:r>
              <w:t>2</w:t>
            </w:r>
          </w:p>
        </w:tc>
        <w:tc>
          <w:tcPr>
            <w:tcW w:w="3986" w:type="pct"/>
            <w:tcBorders>
              <w:left w:val="single" w:sz="2" w:space="0" w:color="B9B9B9"/>
              <w:right w:val="single" w:sz="2" w:space="0" w:color="B9B9B9"/>
            </w:tcBorders>
          </w:tcPr>
          <w:p w14:paraId="2032A914" w14:textId="77777777" w:rsidR="00CB7118" w:rsidRPr="00D3106F" w:rsidRDefault="00CB7118" w:rsidP="008F3C4B">
            <w:pPr>
              <w:rPr>
                <w:b/>
                <w:bCs/>
                <w:szCs w:val="20"/>
              </w:rPr>
            </w:pPr>
            <w:r w:rsidRPr="009C71A0">
              <w:t>NHS Standard:</w:t>
            </w:r>
            <w:r w:rsidRPr="00D3106F">
              <w:rPr>
                <w:b/>
                <w:bCs/>
              </w:rPr>
              <w:t xml:space="preserve"> </w:t>
            </w:r>
            <w:r w:rsidRPr="00D3106F">
              <w:rPr>
                <w:rStyle w:val="Strong"/>
                <w:b w:val="0"/>
                <w:bCs w:val="0"/>
              </w:rPr>
              <w:t>DCB 0160 – Clinical Risk Management: its Application in the Deployment and Use of Health IT Systems – Specification</w:t>
            </w:r>
          </w:p>
        </w:tc>
        <w:tc>
          <w:tcPr>
            <w:tcW w:w="719" w:type="pct"/>
            <w:tcBorders>
              <w:left w:val="single" w:sz="2" w:space="0" w:color="B9B9B9"/>
            </w:tcBorders>
            <w:tcMar>
              <w:left w:w="28" w:type="dxa"/>
              <w:right w:w="28" w:type="dxa"/>
            </w:tcMar>
          </w:tcPr>
          <w:p w14:paraId="528D3197" w14:textId="77777777" w:rsidR="00CB7118" w:rsidRPr="00952092" w:rsidRDefault="00CB7118" w:rsidP="008F3C4B">
            <w:pPr>
              <w:pStyle w:val="TableText"/>
              <w:jc w:val="center"/>
            </w:pPr>
            <w:r w:rsidRPr="00952092">
              <w:t>V4.2</w:t>
            </w:r>
          </w:p>
        </w:tc>
      </w:tr>
      <w:tr w:rsidR="00CB7118" w:rsidRPr="00376403" w14:paraId="7B91AF16" w14:textId="77777777" w:rsidTr="00291F11">
        <w:trPr>
          <w:cantSplit/>
          <w:trHeight w:val="290"/>
        </w:trPr>
        <w:tc>
          <w:tcPr>
            <w:tcW w:w="295" w:type="pct"/>
            <w:tcBorders>
              <w:top w:val="single" w:sz="2" w:space="0" w:color="B9B9B9"/>
              <w:bottom w:val="single" w:sz="2" w:space="0" w:color="B9B9B9"/>
              <w:right w:val="single" w:sz="2" w:space="0" w:color="B9B9B9"/>
            </w:tcBorders>
          </w:tcPr>
          <w:p w14:paraId="5ACA2B55" w14:textId="77777777" w:rsidR="00CB7118" w:rsidRPr="00376403" w:rsidRDefault="00CB7118" w:rsidP="008F3C4B">
            <w:pPr>
              <w:pStyle w:val="TableText"/>
              <w:jc w:val="center"/>
            </w:pPr>
            <w:r w:rsidRPr="00376403">
              <w:t>3</w:t>
            </w:r>
          </w:p>
        </w:tc>
        <w:tc>
          <w:tcPr>
            <w:tcW w:w="3986" w:type="pct"/>
            <w:tcBorders>
              <w:top w:val="single" w:sz="2" w:space="0" w:color="B9B9B9"/>
              <w:left w:val="single" w:sz="2" w:space="0" w:color="B9B9B9"/>
              <w:bottom w:val="single" w:sz="2" w:space="0" w:color="B9B9B9"/>
              <w:right w:val="single" w:sz="2" w:space="0" w:color="B9B9B9"/>
            </w:tcBorders>
          </w:tcPr>
          <w:p w14:paraId="5F94611E" w14:textId="77777777" w:rsidR="00CB7118" w:rsidRPr="00376403" w:rsidRDefault="00CB7118" w:rsidP="008F3C4B">
            <w:pPr>
              <w:rPr>
                <w:b/>
                <w:bCs/>
              </w:rPr>
            </w:pPr>
            <w:r w:rsidRPr="00376403">
              <w:rPr>
                <w:rStyle w:val="Strong"/>
                <w:b w:val="0"/>
                <w:bCs w:val="0"/>
              </w:rPr>
              <w:t>DCB 0129 Hazard Log</w:t>
            </w:r>
          </w:p>
        </w:tc>
        <w:tc>
          <w:tcPr>
            <w:tcW w:w="719" w:type="pct"/>
            <w:tcBorders>
              <w:top w:val="single" w:sz="2" w:space="0" w:color="B9B9B9"/>
              <w:left w:val="single" w:sz="2" w:space="0" w:color="B9B9B9"/>
              <w:bottom w:val="single" w:sz="2" w:space="0" w:color="B9B9B9"/>
            </w:tcBorders>
            <w:tcMar>
              <w:left w:w="28" w:type="dxa"/>
              <w:right w:w="28" w:type="dxa"/>
            </w:tcMar>
          </w:tcPr>
          <w:p w14:paraId="5A5EA2A0" w14:textId="72D13187" w:rsidR="00CB7118" w:rsidRPr="00376403" w:rsidRDefault="00376403" w:rsidP="008F3C4B">
            <w:pPr>
              <w:pStyle w:val="TableText"/>
              <w:jc w:val="center"/>
            </w:pPr>
            <w:r w:rsidRPr="00376403">
              <w:t>V</w:t>
            </w:r>
            <w:r w:rsidR="00CB7118" w:rsidRPr="00376403">
              <w:t>0.1</w:t>
            </w:r>
            <w:r w:rsidRPr="00376403">
              <w:t>.6</w:t>
            </w:r>
          </w:p>
        </w:tc>
      </w:tr>
      <w:tr w:rsidR="00CB7118" w:rsidRPr="00952092" w14:paraId="7527A278" w14:textId="77777777" w:rsidTr="00291F11">
        <w:trPr>
          <w:cantSplit/>
          <w:trHeight w:val="290"/>
        </w:trPr>
        <w:tc>
          <w:tcPr>
            <w:tcW w:w="295" w:type="pct"/>
            <w:tcBorders>
              <w:top w:val="single" w:sz="2" w:space="0" w:color="B9B9B9"/>
              <w:bottom w:val="single" w:sz="2" w:space="0" w:color="B9B9B9"/>
              <w:right w:val="single" w:sz="2" w:space="0" w:color="B9B9B9"/>
            </w:tcBorders>
          </w:tcPr>
          <w:p w14:paraId="1EF6CC77" w14:textId="77777777" w:rsidR="00CB7118" w:rsidRPr="00952092" w:rsidRDefault="00CB7118" w:rsidP="008F3C4B">
            <w:pPr>
              <w:pStyle w:val="TableText"/>
              <w:jc w:val="center"/>
            </w:pPr>
            <w:r>
              <w:t>4</w:t>
            </w:r>
          </w:p>
        </w:tc>
        <w:tc>
          <w:tcPr>
            <w:tcW w:w="3986" w:type="pct"/>
            <w:tcBorders>
              <w:top w:val="single" w:sz="2" w:space="0" w:color="B9B9B9"/>
              <w:left w:val="single" w:sz="2" w:space="0" w:color="B9B9B9"/>
              <w:bottom w:val="single" w:sz="2" w:space="0" w:color="B9B9B9"/>
              <w:right w:val="single" w:sz="2" w:space="0" w:color="B9B9B9"/>
            </w:tcBorders>
          </w:tcPr>
          <w:p w14:paraId="37FF2C56" w14:textId="77777777" w:rsidR="00CB7118" w:rsidRPr="00D3106F" w:rsidRDefault="00CB7118" w:rsidP="008F3C4B">
            <w:r w:rsidRPr="009C71A0">
              <w:rPr>
                <w:rStyle w:val="Strong"/>
                <w:b w:val="0"/>
                <w:bCs w:val="0"/>
              </w:rPr>
              <w:t>MHRA Software Classification Guidance:</w:t>
            </w:r>
            <w:r w:rsidRPr="00D3106F">
              <w:t xml:space="preserve"> </w:t>
            </w:r>
            <w:r w:rsidRPr="00D3106F">
              <w:rPr>
                <w:rStyle w:val="Emphasis"/>
                <w:rFonts w:eastAsia="MS Mincho"/>
              </w:rPr>
              <w:t>Medical Device Stand-alone Software Including Apps (including IVDMDs)</w:t>
            </w:r>
            <w:r w:rsidRPr="00D3106F">
              <w:t xml:space="preserve">, </w:t>
            </w:r>
            <w:r w:rsidRPr="00D3106F">
              <w:rPr>
                <w:rStyle w:val="Emphasis"/>
                <w:rFonts w:eastAsia="MS Mincho"/>
              </w:rPr>
              <w:t>MEDDEV 2.1/6</w:t>
            </w:r>
          </w:p>
        </w:tc>
        <w:tc>
          <w:tcPr>
            <w:tcW w:w="719" w:type="pct"/>
            <w:tcBorders>
              <w:top w:val="single" w:sz="2" w:space="0" w:color="B9B9B9"/>
              <w:left w:val="single" w:sz="2" w:space="0" w:color="B9B9B9"/>
              <w:bottom w:val="single" w:sz="2" w:space="0" w:color="B9B9B9"/>
            </w:tcBorders>
            <w:tcMar>
              <w:left w:w="28" w:type="dxa"/>
              <w:right w:w="28" w:type="dxa"/>
            </w:tcMar>
          </w:tcPr>
          <w:p w14:paraId="5354BEC6" w14:textId="77777777" w:rsidR="00CB7118" w:rsidRPr="00952092" w:rsidRDefault="00CB7118" w:rsidP="008F3C4B">
            <w:pPr>
              <w:pStyle w:val="TableText"/>
              <w:jc w:val="center"/>
            </w:pPr>
            <w:r w:rsidRPr="007B67B8">
              <w:rPr>
                <w:i/>
                <w:iCs/>
              </w:rPr>
              <w:t>2.1/6</w:t>
            </w:r>
          </w:p>
        </w:tc>
      </w:tr>
      <w:tr w:rsidR="00CB7118" w:rsidRPr="00952092" w14:paraId="16D8873E" w14:textId="77777777" w:rsidTr="00291F11">
        <w:trPr>
          <w:cantSplit/>
          <w:trHeight w:val="290"/>
        </w:trPr>
        <w:tc>
          <w:tcPr>
            <w:tcW w:w="295" w:type="pct"/>
            <w:tcBorders>
              <w:top w:val="single" w:sz="2" w:space="0" w:color="B9B9B9"/>
              <w:bottom w:val="single" w:sz="2" w:space="0" w:color="B9B9B9"/>
              <w:right w:val="single" w:sz="2" w:space="0" w:color="B9B9B9"/>
            </w:tcBorders>
          </w:tcPr>
          <w:p w14:paraId="0C90CF0E" w14:textId="77777777" w:rsidR="00CB7118" w:rsidRPr="00952092" w:rsidRDefault="00CB7118" w:rsidP="008F3C4B">
            <w:pPr>
              <w:pStyle w:val="TableText"/>
              <w:jc w:val="center"/>
            </w:pPr>
            <w:r>
              <w:t>5</w:t>
            </w:r>
          </w:p>
        </w:tc>
        <w:tc>
          <w:tcPr>
            <w:tcW w:w="3986" w:type="pct"/>
            <w:tcBorders>
              <w:top w:val="single" w:sz="2" w:space="0" w:color="B9B9B9"/>
              <w:left w:val="single" w:sz="2" w:space="0" w:color="B9B9B9"/>
              <w:bottom w:val="single" w:sz="2" w:space="0" w:color="B9B9B9"/>
              <w:right w:val="single" w:sz="2" w:space="0" w:color="B9B9B9"/>
            </w:tcBorders>
          </w:tcPr>
          <w:p w14:paraId="5BD9ABC1" w14:textId="77777777" w:rsidR="00CB7118" w:rsidRPr="00D3106F" w:rsidRDefault="00CB7118" w:rsidP="008F3C4B">
            <w:r w:rsidRPr="009C71A0">
              <w:rPr>
                <w:rStyle w:val="Strong"/>
                <w:b w:val="0"/>
                <w:bCs w:val="0"/>
              </w:rPr>
              <w:t>NHS England Developer Portal (2025):</w:t>
            </w:r>
            <w:r w:rsidRPr="00D3106F">
              <w:t xml:space="preserve"> </w:t>
            </w:r>
            <w:r w:rsidRPr="00D3106F">
              <w:rPr>
                <w:rStyle w:val="Emphasis"/>
                <w:rFonts w:eastAsia="MS Mincho"/>
              </w:rPr>
              <w:t>Digital Onboarding Process</w:t>
            </w:r>
            <w:r w:rsidRPr="00D3106F">
              <w:t xml:space="preserve"> – </w:t>
            </w:r>
            <w:hyperlink r:id="rId16" w:tgtFrame="_new" w:history="1">
              <w:r w:rsidRPr="00D3106F">
                <w:rPr>
                  <w:rStyle w:val="Hyperlink"/>
                </w:rPr>
                <w:t>https://digital.nhs.uk/developer/guides-and-documentation/digital-onboarding</w:t>
              </w:r>
            </w:hyperlink>
          </w:p>
        </w:tc>
        <w:tc>
          <w:tcPr>
            <w:tcW w:w="719" w:type="pct"/>
            <w:tcBorders>
              <w:top w:val="single" w:sz="2" w:space="0" w:color="B9B9B9"/>
              <w:left w:val="single" w:sz="2" w:space="0" w:color="B9B9B9"/>
              <w:bottom w:val="single" w:sz="2" w:space="0" w:color="B9B9B9"/>
            </w:tcBorders>
            <w:tcMar>
              <w:left w:w="28" w:type="dxa"/>
              <w:right w:w="28" w:type="dxa"/>
            </w:tcMar>
          </w:tcPr>
          <w:p w14:paraId="489F003A" w14:textId="19B38DD4" w:rsidR="00CB7118" w:rsidRPr="00952092" w:rsidRDefault="00CB7118" w:rsidP="008F3C4B">
            <w:pPr>
              <w:pStyle w:val="TableText"/>
              <w:jc w:val="center"/>
            </w:pPr>
            <w:r>
              <w:t>-</w:t>
            </w:r>
          </w:p>
        </w:tc>
      </w:tr>
      <w:tr w:rsidR="00CB7118" w:rsidRPr="00952092" w14:paraId="41A2DC4C" w14:textId="77777777" w:rsidTr="00291F11">
        <w:trPr>
          <w:cantSplit/>
          <w:trHeight w:val="290"/>
        </w:trPr>
        <w:tc>
          <w:tcPr>
            <w:tcW w:w="295" w:type="pct"/>
            <w:tcBorders>
              <w:top w:val="single" w:sz="2" w:space="0" w:color="B9B9B9"/>
              <w:bottom w:val="single" w:sz="2" w:space="0" w:color="B9B9B9"/>
              <w:right w:val="single" w:sz="2" w:space="0" w:color="B9B9B9"/>
            </w:tcBorders>
          </w:tcPr>
          <w:p w14:paraId="0BC904A8" w14:textId="77777777" w:rsidR="00CB7118" w:rsidRPr="00952092" w:rsidRDefault="00CB7118" w:rsidP="008F3C4B">
            <w:pPr>
              <w:pStyle w:val="TableText"/>
              <w:jc w:val="center"/>
            </w:pPr>
            <w:r>
              <w:t>6</w:t>
            </w:r>
          </w:p>
        </w:tc>
        <w:tc>
          <w:tcPr>
            <w:tcW w:w="3986" w:type="pct"/>
            <w:tcBorders>
              <w:top w:val="single" w:sz="2" w:space="0" w:color="B9B9B9"/>
              <w:left w:val="single" w:sz="2" w:space="0" w:color="B9B9B9"/>
              <w:bottom w:val="single" w:sz="2" w:space="0" w:color="B9B9B9"/>
              <w:right w:val="single" w:sz="2" w:space="0" w:color="B9B9B9"/>
            </w:tcBorders>
          </w:tcPr>
          <w:p w14:paraId="3D5DA037" w14:textId="7D87160F" w:rsidR="00CB7118" w:rsidRPr="00D3106F" w:rsidRDefault="00CB7118" w:rsidP="008F3C4B">
            <w:pPr>
              <w:rPr>
                <w:b/>
                <w:bCs/>
              </w:rPr>
            </w:pPr>
            <w:r w:rsidRPr="00D3106F">
              <w:rPr>
                <w:rStyle w:val="Strong"/>
                <w:b w:val="0"/>
                <w:bCs w:val="0"/>
              </w:rPr>
              <w:t xml:space="preserve">NIR Solution Design Specification </w:t>
            </w:r>
            <w:r w:rsidR="008D2540">
              <w:rPr>
                <w:rStyle w:val="Strong"/>
                <w:b w:val="0"/>
                <w:bCs w:val="0"/>
              </w:rPr>
              <w:t>(</w:t>
            </w:r>
            <w:r w:rsidR="008D2540" w:rsidRPr="008D2540">
              <w:rPr>
                <w:rFonts w:asciiTheme="minorHAnsi" w:hAnsiTheme="minorHAnsi"/>
              </w:rPr>
              <w:t>Derived from NIR Product Brief v3 (28 Jun 2025)</w:t>
            </w:r>
          </w:p>
        </w:tc>
        <w:tc>
          <w:tcPr>
            <w:tcW w:w="719" w:type="pct"/>
            <w:tcBorders>
              <w:top w:val="single" w:sz="2" w:space="0" w:color="B9B9B9"/>
              <w:left w:val="single" w:sz="2" w:space="0" w:color="B9B9B9"/>
              <w:bottom w:val="single" w:sz="2" w:space="0" w:color="B9B9B9"/>
            </w:tcBorders>
            <w:tcMar>
              <w:left w:w="28" w:type="dxa"/>
              <w:right w:w="28" w:type="dxa"/>
            </w:tcMar>
          </w:tcPr>
          <w:p w14:paraId="4BD83CD7" w14:textId="77777777" w:rsidR="00CB7118" w:rsidRPr="00952092" w:rsidRDefault="00CB7118" w:rsidP="008F3C4B">
            <w:pPr>
              <w:pStyle w:val="TableText"/>
              <w:jc w:val="center"/>
            </w:pPr>
            <w:r w:rsidRPr="007B67B8">
              <w:t>v1.5</w:t>
            </w:r>
          </w:p>
        </w:tc>
      </w:tr>
      <w:tr w:rsidR="00CB7118" w:rsidRPr="00952092" w14:paraId="4FD925D8" w14:textId="77777777" w:rsidTr="00291F11">
        <w:trPr>
          <w:cantSplit/>
          <w:trHeight w:val="290"/>
        </w:trPr>
        <w:tc>
          <w:tcPr>
            <w:tcW w:w="295" w:type="pct"/>
            <w:tcBorders>
              <w:top w:val="single" w:sz="2" w:space="0" w:color="B9B9B9"/>
              <w:bottom w:val="single" w:sz="2" w:space="0" w:color="B9B9B9"/>
              <w:right w:val="single" w:sz="2" w:space="0" w:color="B9B9B9"/>
            </w:tcBorders>
          </w:tcPr>
          <w:p w14:paraId="1FEA216F" w14:textId="77777777" w:rsidR="00CB7118" w:rsidRPr="00952092" w:rsidRDefault="00CB7118" w:rsidP="008F3C4B">
            <w:pPr>
              <w:pStyle w:val="TableText"/>
              <w:jc w:val="center"/>
            </w:pPr>
            <w:r>
              <w:t>7</w:t>
            </w:r>
          </w:p>
        </w:tc>
        <w:tc>
          <w:tcPr>
            <w:tcW w:w="3986" w:type="pct"/>
            <w:tcBorders>
              <w:top w:val="single" w:sz="2" w:space="0" w:color="B9B9B9"/>
              <w:left w:val="single" w:sz="2" w:space="0" w:color="B9B9B9"/>
              <w:bottom w:val="single" w:sz="2" w:space="0" w:color="B9B9B9"/>
              <w:right w:val="single" w:sz="2" w:space="0" w:color="B9B9B9"/>
            </w:tcBorders>
          </w:tcPr>
          <w:p w14:paraId="1FA094C5" w14:textId="77777777" w:rsidR="00CB7118" w:rsidRDefault="00CB7118" w:rsidP="008F3C4B">
            <w:pPr>
              <w:rPr>
                <w:rStyle w:val="Strong"/>
                <w:b w:val="0"/>
                <w:bCs w:val="0"/>
              </w:rPr>
            </w:pPr>
            <w:r w:rsidRPr="00D3106F">
              <w:rPr>
                <w:rStyle w:val="Strong"/>
                <w:b w:val="0"/>
                <w:bCs w:val="0"/>
              </w:rPr>
              <w:t>NIR Interoperability and Standards Compliance</w:t>
            </w:r>
          </w:p>
          <w:p w14:paraId="59A7BCDD" w14:textId="54EE7991" w:rsidR="006673B2" w:rsidRPr="006673B2" w:rsidRDefault="006673B2" w:rsidP="008F3C4B">
            <w:hyperlink r:id="rId17" w:history="1">
              <w:r w:rsidRPr="006673B2">
                <w:rPr>
                  <w:rStyle w:val="Hyperlink"/>
                  <w:rFonts w:ascii="Arial" w:hAnsi="Arial"/>
                </w:rPr>
                <w:t>https://nhsd-confluence.digital.nhs.uk/spaces/CLP/pages/1128204655/NIR+Interoperability</w:t>
              </w:r>
            </w:hyperlink>
          </w:p>
        </w:tc>
        <w:tc>
          <w:tcPr>
            <w:tcW w:w="719" w:type="pct"/>
            <w:tcBorders>
              <w:top w:val="single" w:sz="2" w:space="0" w:color="B9B9B9"/>
              <w:left w:val="single" w:sz="2" w:space="0" w:color="B9B9B9"/>
              <w:bottom w:val="single" w:sz="2" w:space="0" w:color="B9B9B9"/>
            </w:tcBorders>
            <w:tcMar>
              <w:left w:w="28" w:type="dxa"/>
              <w:right w:w="28" w:type="dxa"/>
            </w:tcMar>
          </w:tcPr>
          <w:p w14:paraId="13055D4E" w14:textId="7EA2CFC2" w:rsidR="00CB7118" w:rsidRPr="00952092" w:rsidRDefault="00922860" w:rsidP="008F3C4B">
            <w:pPr>
              <w:pStyle w:val="TableText"/>
              <w:jc w:val="center"/>
            </w:pPr>
            <w:r>
              <w:t>Appx E</w:t>
            </w:r>
          </w:p>
        </w:tc>
      </w:tr>
      <w:tr w:rsidR="00CB7118" w:rsidRPr="00952092" w14:paraId="3E8CE345" w14:textId="77777777" w:rsidTr="00291F11">
        <w:trPr>
          <w:cantSplit/>
          <w:trHeight w:val="290"/>
        </w:trPr>
        <w:tc>
          <w:tcPr>
            <w:tcW w:w="295" w:type="pct"/>
            <w:tcBorders>
              <w:right w:val="single" w:sz="2" w:space="0" w:color="B9B9B9"/>
            </w:tcBorders>
          </w:tcPr>
          <w:p w14:paraId="588DA543" w14:textId="77777777" w:rsidR="00CB7118" w:rsidRPr="00952092" w:rsidRDefault="00CB7118" w:rsidP="008F3C4B">
            <w:pPr>
              <w:pStyle w:val="TableText"/>
              <w:jc w:val="center"/>
            </w:pPr>
            <w:r>
              <w:t>8</w:t>
            </w:r>
          </w:p>
        </w:tc>
        <w:tc>
          <w:tcPr>
            <w:tcW w:w="3986" w:type="pct"/>
            <w:tcBorders>
              <w:left w:val="single" w:sz="2" w:space="0" w:color="B9B9B9"/>
              <w:right w:val="single" w:sz="2" w:space="0" w:color="B9B9B9"/>
            </w:tcBorders>
          </w:tcPr>
          <w:p w14:paraId="270F4F71" w14:textId="77777777" w:rsidR="00CB7118" w:rsidRDefault="00CB7118" w:rsidP="008F3C4B">
            <w:pPr>
              <w:rPr>
                <w:rStyle w:val="Strong"/>
                <w:b w:val="0"/>
                <w:bCs w:val="0"/>
              </w:rPr>
            </w:pPr>
            <w:r w:rsidRPr="00D3106F">
              <w:rPr>
                <w:rStyle w:val="Strong"/>
                <w:b w:val="0"/>
                <w:bCs w:val="0"/>
              </w:rPr>
              <w:t>NIR Observability and Logging Strategy</w:t>
            </w:r>
          </w:p>
          <w:p w14:paraId="0D2478CF" w14:textId="34FC820C" w:rsidR="00762924" w:rsidRPr="000936A0" w:rsidRDefault="00762924" w:rsidP="000936A0">
            <w:pPr>
              <w:rPr>
                <w:color w:val="00B050"/>
                <w:szCs w:val="20"/>
              </w:rPr>
            </w:pPr>
            <w:hyperlink r:id="rId18" w:history="1">
              <w:r w:rsidRPr="000936A0">
                <w:rPr>
                  <w:rStyle w:val="Hyperlink"/>
                  <w:rFonts w:ascii="Arial" w:hAnsi="Arial"/>
                  <w:szCs w:val="20"/>
                </w:rPr>
                <w:t>https://nhsd-confluence.digital.nhs.uk/spaces/CLP/pages/1121401300/NIR+Observability+and+Logging+Strategy</w:t>
              </w:r>
            </w:hyperlink>
          </w:p>
        </w:tc>
        <w:tc>
          <w:tcPr>
            <w:tcW w:w="719" w:type="pct"/>
            <w:tcBorders>
              <w:left w:val="single" w:sz="2" w:space="0" w:color="B9B9B9"/>
            </w:tcBorders>
            <w:tcMar>
              <w:left w:w="28" w:type="dxa"/>
              <w:right w:w="28" w:type="dxa"/>
            </w:tcMar>
          </w:tcPr>
          <w:p w14:paraId="4B3B5732" w14:textId="5BCDF1B6" w:rsidR="00CB7118" w:rsidRPr="00291F11" w:rsidRDefault="00291F11" w:rsidP="008F3C4B">
            <w:pPr>
              <w:pStyle w:val="TableText"/>
              <w:jc w:val="center"/>
            </w:pPr>
            <w:r w:rsidRPr="00291F11">
              <w:t>Version 14 (12 September 2025)</w:t>
            </w:r>
          </w:p>
        </w:tc>
      </w:tr>
      <w:tr w:rsidR="00CB7118" w:rsidRPr="00952092" w14:paraId="5018C694" w14:textId="77777777" w:rsidTr="00291F11">
        <w:trPr>
          <w:cantSplit/>
          <w:trHeight w:val="290"/>
        </w:trPr>
        <w:tc>
          <w:tcPr>
            <w:tcW w:w="295" w:type="pct"/>
            <w:tcBorders>
              <w:right w:val="single" w:sz="2" w:space="0" w:color="B9B9B9"/>
            </w:tcBorders>
          </w:tcPr>
          <w:p w14:paraId="3DF79A32" w14:textId="77777777" w:rsidR="00CB7118" w:rsidRPr="00952092" w:rsidRDefault="00CB7118" w:rsidP="008F3C4B">
            <w:pPr>
              <w:pStyle w:val="TableText"/>
              <w:jc w:val="center"/>
            </w:pPr>
            <w:r>
              <w:t>9</w:t>
            </w:r>
          </w:p>
        </w:tc>
        <w:tc>
          <w:tcPr>
            <w:tcW w:w="3986" w:type="pct"/>
            <w:tcBorders>
              <w:left w:val="single" w:sz="2" w:space="0" w:color="B9B9B9"/>
              <w:right w:val="single" w:sz="2" w:space="0" w:color="B9B9B9"/>
            </w:tcBorders>
          </w:tcPr>
          <w:p w14:paraId="2D0BA661" w14:textId="77777777" w:rsidR="00CB7118" w:rsidRPr="00AF7939" w:rsidRDefault="00CB7118" w:rsidP="008F3C4B">
            <w:pPr>
              <w:rPr>
                <w:rStyle w:val="Strong"/>
                <w:b w:val="0"/>
                <w:bCs w:val="0"/>
              </w:rPr>
            </w:pPr>
            <w:r w:rsidRPr="00AF7939">
              <w:rPr>
                <w:rStyle w:val="Strong"/>
                <w:b w:val="0"/>
                <w:bCs w:val="0"/>
              </w:rPr>
              <w:t>NIR Error Handling Framework</w:t>
            </w:r>
            <w:r w:rsidR="00AF7939" w:rsidRPr="00AF7939">
              <w:rPr>
                <w:rStyle w:val="Strong"/>
                <w:b w:val="0"/>
                <w:bCs w:val="0"/>
              </w:rPr>
              <w:t>:</w:t>
            </w:r>
          </w:p>
          <w:p w14:paraId="4DFFF80A" w14:textId="10131026" w:rsidR="00AF7939" w:rsidRPr="00AF7939" w:rsidRDefault="00AF7939" w:rsidP="008F3C4B">
            <w:pPr>
              <w:rPr>
                <w:color w:val="00B050"/>
                <w:szCs w:val="20"/>
              </w:rPr>
            </w:pPr>
            <w:hyperlink r:id="rId19" w:history="1">
              <w:r w:rsidRPr="00AF7939">
                <w:rPr>
                  <w:rStyle w:val="Hyperlink"/>
                  <w:rFonts w:ascii="Arial" w:hAnsi="Arial"/>
                  <w:szCs w:val="20"/>
                </w:rPr>
                <w:t>https://nhsd-confluence.digital.nhs.uk/spaces/CLP/pages/1161766556/NIR+Error+Handling</w:t>
              </w:r>
            </w:hyperlink>
          </w:p>
        </w:tc>
        <w:tc>
          <w:tcPr>
            <w:tcW w:w="719" w:type="pct"/>
            <w:tcBorders>
              <w:left w:val="single" w:sz="2" w:space="0" w:color="B9B9B9"/>
            </w:tcBorders>
            <w:tcMar>
              <w:left w:w="28" w:type="dxa"/>
              <w:right w:w="28" w:type="dxa"/>
            </w:tcMar>
          </w:tcPr>
          <w:p w14:paraId="6FDB6E06" w14:textId="614CB85B" w:rsidR="00CB7118" w:rsidRPr="00291F11" w:rsidRDefault="00543478" w:rsidP="008F3C4B">
            <w:pPr>
              <w:pStyle w:val="TableText"/>
              <w:jc w:val="center"/>
            </w:pPr>
            <w:r w:rsidRPr="00543478">
              <w:t>Version 33 (12 September 2025)</w:t>
            </w:r>
          </w:p>
        </w:tc>
      </w:tr>
      <w:tr w:rsidR="00CB7118" w:rsidRPr="002F3A9C" w14:paraId="2695E5F5" w14:textId="77777777" w:rsidTr="00175953">
        <w:trPr>
          <w:cantSplit/>
          <w:trHeight w:val="290"/>
        </w:trPr>
        <w:tc>
          <w:tcPr>
            <w:tcW w:w="295" w:type="pct"/>
            <w:tcBorders>
              <w:right w:val="single" w:sz="2" w:space="0" w:color="B9B9B9"/>
            </w:tcBorders>
          </w:tcPr>
          <w:p w14:paraId="6186F2E8" w14:textId="77777777" w:rsidR="00CB7118" w:rsidRPr="00952092" w:rsidRDefault="00CB7118" w:rsidP="008F3C4B">
            <w:pPr>
              <w:pStyle w:val="TableText"/>
              <w:jc w:val="center"/>
            </w:pPr>
            <w:r>
              <w:t>10</w:t>
            </w:r>
          </w:p>
        </w:tc>
        <w:tc>
          <w:tcPr>
            <w:tcW w:w="3986" w:type="pct"/>
            <w:tcBorders>
              <w:left w:val="single" w:sz="2" w:space="0" w:color="B9B9B9"/>
              <w:right w:val="single" w:sz="2" w:space="0" w:color="B9B9B9"/>
            </w:tcBorders>
          </w:tcPr>
          <w:p w14:paraId="4FDCEE82" w14:textId="27FEBA0A" w:rsidR="00DF106F" w:rsidRPr="00AF7939" w:rsidRDefault="00CB7118" w:rsidP="00DF106F">
            <w:pPr>
              <w:rPr>
                <w:b/>
                <w:bCs/>
                <w:color w:val="00B050"/>
                <w:szCs w:val="20"/>
              </w:rPr>
            </w:pPr>
            <w:r w:rsidRPr="00AF7939">
              <w:rPr>
                <w:rStyle w:val="Strong"/>
                <w:b w:val="0"/>
                <w:bCs w:val="0"/>
              </w:rPr>
              <w:t>NIR Supplier Onboarding Pack and Supplier Conformance Criteria (SCC)</w:t>
            </w:r>
            <w:r w:rsidR="00DF106F">
              <w:rPr>
                <w:rStyle w:val="Strong"/>
                <w:b w:val="0"/>
                <w:bCs w:val="0"/>
              </w:rPr>
              <w:t xml:space="preserve"> </w:t>
            </w:r>
          </w:p>
        </w:tc>
        <w:tc>
          <w:tcPr>
            <w:tcW w:w="719" w:type="pct"/>
            <w:tcBorders>
              <w:left w:val="single" w:sz="2" w:space="0" w:color="B9B9B9"/>
            </w:tcBorders>
            <w:tcMar>
              <w:left w:w="28" w:type="dxa"/>
              <w:right w:w="28" w:type="dxa"/>
            </w:tcMar>
          </w:tcPr>
          <w:p w14:paraId="69B6D853" w14:textId="05031BDC" w:rsidR="00CB7118" w:rsidRPr="00291F11" w:rsidRDefault="00976012" w:rsidP="00976012">
            <w:pPr>
              <w:pStyle w:val="TableText"/>
              <w:jc w:val="center"/>
            </w:pPr>
            <w:r w:rsidRPr="00175953">
              <w:t xml:space="preserve">DOSM </w:t>
            </w:r>
          </w:p>
        </w:tc>
      </w:tr>
      <w:tr w:rsidR="00CB7118" w:rsidRPr="002F3A9C" w14:paraId="28D8883F" w14:textId="77777777" w:rsidTr="00291F11">
        <w:trPr>
          <w:cantSplit/>
          <w:trHeight w:val="290"/>
        </w:trPr>
        <w:tc>
          <w:tcPr>
            <w:tcW w:w="295" w:type="pct"/>
            <w:tcBorders>
              <w:right w:val="single" w:sz="2" w:space="0" w:color="B9B9B9"/>
            </w:tcBorders>
          </w:tcPr>
          <w:p w14:paraId="5FA3C0DE" w14:textId="77777777" w:rsidR="00CB7118" w:rsidRPr="00952092" w:rsidRDefault="00CB7118" w:rsidP="008F3C4B">
            <w:pPr>
              <w:pStyle w:val="TableText"/>
              <w:jc w:val="center"/>
            </w:pPr>
            <w:r>
              <w:t>11</w:t>
            </w:r>
          </w:p>
        </w:tc>
        <w:tc>
          <w:tcPr>
            <w:tcW w:w="3986" w:type="pct"/>
            <w:tcBorders>
              <w:left w:val="single" w:sz="2" w:space="0" w:color="B9B9B9"/>
              <w:right w:val="single" w:sz="2" w:space="0" w:color="B9B9B9"/>
            </w:tcBorders>
          </w:tcPr>
          <w:p w14:paraId="2DE27095" w14:textId="77777777" w:rsidR="00CB7118" w:rsidRDefault="00CB7118" w:rsidP="008F3C4B">
            <w:pPr>
              <w:rPr>
                <w:rStyle w:val="Strong"/>
                <w:b w:val="0"/>
                <w:bCs w:val="0"/>
              </w:rPr>
            </w:pPr>
            <w:r w:rsidRPr="00D3106F">
              <w:rPr>
                <w:rStyle w:val="Strong"/>
                <w:b w:val="0"/>
                <w:bCs w:val="0"/>
              </w:rPr>
              <w:t xml:space="preserve">NIR Quality Assurance and Test Strategy </w:t>
            </w:r>
          </w:p>
          <w:p w14:paraId="1218D6E4" w14:textId="1B367489" w:rsidR="00D30D17" w:rsidRPr="00D30D17" w:rsidRDefault="00D30D17" w:rsidP="00D30D17">
            <w:pPr>
              <w:rPr>
                <w:color w:val="00B050"/>
                <w:szCs w:val="20"/>
              </w:rPr>
            </w:pPr>
            <w:hyperlink r:id="rId20" w:history="1">
              <w:r w:rsidRPr="00D30D17">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5DF8B22E" w14:textId="77777777" w:rsidR="00CB7118" w:rsidRPr="00291F11" w:rsidRDefault="00CB7118" w:rsidP="008F3C4B">
            <w:pPr>
              <w:pStyle w:val="TableText"/>
              <w:jc w:val="center"/>
            </w:pPr>
            <w:r w:rsidRPr="007B67B8">
              <w:t>v3.0</w:t>
            </w:r>
          </w:p>
        </w:tc>
      </w:tr>
      <w:tr w:rsidR="00CB7118" w:rsidRPr="00952092" w14:paraId="184AD91E" w14:textId="77777777" w:rsidTr="00291F11">
        <w:trPr>
          <w:cantSplit/>
          <w:trHeight w:val="290"/>
        </w:trPr>
        <w:tc>
          <w:tcPr>
            <w:tcW w:w="295" w:type="pct"/>
            <w:tcBorders>
              <w:right w:val="single" w:sz="2" w:space="0" w:color="B9B9B9"/>
            </w:tcBorders>
          </w:tcPr>
          <w:p w14:paraId="15EFA431" w14:textId="77777777" w:rsidR="00CB7118" w:rsidRPr="00952092" w:rsidRDefault="00CB7118" w:rsidP="008F3C4B">
            <w:pPr>
              <w:pStyle w:val="TableText"/>
              <w:jc w:val="center"/>
            </w:pPr>
            <w:r>
              <w:t>12</w:t>
            </w:r>
          </w:p>
        </w:tc>
        <w:tc>
          <w:tcPr>
            <w:tcW w:w="3986" w:type="pct"/>
            <w:tcBorders>
              <w:left w:val="single" w:sz="2" w:space="0" w:color="B9B9B9"/>
              <w:right w:val="single" w:sz="2" w:space="0" w:color="B9B9B9"/>
            </w:tcBorders>
          </w:tcPr>
          <w:p w14:paraId="6F64F41F" w14:textId="1C6183DF" w:rsidR="00FB3F5D" w:rsidRPr="00D3106F" w:rsidRDefault="00CB7118" w:rsidP="00FB3F5D">
            <w:pPr>
              <w:rPr>
                <w:b/>
                <w:bCs/>
                <w:color w:val="00B050"/>
                <w:szCs w:val="20"/>
              </w:rPr>
            </w:pPr>
            <w:r w:rsidRPr="00D3106F">
              <w:rPr>
                <w:rStyle w:val="Strong"/>
                <w:b w:val="0"/>
                <w:bCs w:val="0"/>
              </w:rPr>
              <w:t>NIR Programme Communications Plan</w:t>
            </w:r>
            <w:r w:rsidR="00785C6C" w:rsidRPr="00785C6C">
              <w:rPr>
                <w:rStyle w:val="Strong"/>
                <w:b w:val="0"/>
                <w:bCs w:val="0"/>
                <w:i/>
                <w:iCs/>
              </w:rPr>
              <w:t xml:space="preserve"> - </w:t>
            </w:r>
            <w:r w:rsidR="00785C6C" w:rsidRPr="00785C6C">
              <w:rPr>
                <w:rFonts w:asciiTheme="minorHAnsi" w:hAnsiTheme="minorHAnsi"/>
                <w:i/>
                <w:iCs/>
              </w:rPr>
              <w:t>Governed by NHS England Diagnostics Programme Communications and Engagement Strategy (DDC, 2025)</w:t>
            </w:r>
            <w:r w:rsidR="00FB3F5D">
              <w:rPr>
                <w:rFonts w:asciiTheme="minorHAnsi" w:hAnsiTheme="minorHAnsi"/>
                <w:i/>
                <w:iCs/>
              </w:rPr>
              <w:t xml:space="preserve"> see also - </w:t>
            </w:r>
            <w:hyperlink r:id="rId21" w:history="1">
              <w:r w:rsidR="00FB3F5D" w:rsidRPr="00F25A33">
                <w:rPr>
                  <w:rStyle w:val="Hyperlink"/>
                  <w:i/>
                  <w:iCs/>
                </w:rPr>
                <w:t>https://nhsd-confluence.digital.nhs.uk/spaces/CLP/pages/1111209985/NIR+-+References</w:t>
              </w:r>
            </w:hyperlink>
          </w:p>
        </w:tc>
        <w:tc>
          <w:tcPr>
            <w:tcW w:w="719" w:type="pct"/>
            <w:tcBorders>
              <w:left w:val="single" w:sz="2" w:space="0" w:color="B9B9B9"/>
            </w:tcBorders>
            <w:tcMar>
              <w:left w:w="28" w:type="dxa"/>
              <w:right w:w="28" w:type="dxa"/>
            </w:tcMar>
          </w:tcPr>
          <w:p w14:paraId="0EF641E6" w14:textId="4DB75B3D" w:rsidR="00CB7118" w:rsidRPr="00291F11" w:rsidRDefault="007B67B8" w:rsidP="008F3C4B">
            <w:pPr>
              <w:pStyle w:val="TableText"/>
              <w:jc w:val="center"/>
            </w:pPr>
            <w:r w:rsidRPr="007B67B8">
              <w:t>NHS DDC Programme Document, 2025</w:t>
            </w:r>
          </w:p>
        </w:tc>
      </w:tr>
      <w:tr w:rsidR="00CB7118" w:rsidRPr="00952092" w14:paraId="3E009B14" w14:textId="77777777" w:rsidTr="00291F11">
        <w:trPr>
          <w:cantSplit/>
          <w:trHeight w:val="290"/>
        </w:trPr>
        <w:tc>
          <w:tcPr>
            <w:tcW w:w="295" w:type="pct"/>
            <w:tcBorders>
              <w:right w:val="single" w:sz="2" w:space="0" w:color="B9B9B9"/>
            </w:tcBorders>
          </w:tcPr>
          <w:p w14:paraId="0A780F18" w14:textId="77777777" w:rsidR="00CB7118" w:rsidRPr="00952092" w:rsidRDefault="00CB7118" w:rsidP="008F3C4B">
            <w:pPr>
              <w:pStyle w:val="TableText"/>
              <w:jc w:val="center"/>
            </w:pPr>
            <w:r>
              <w:lastRenderedPageBreak/>
              <w:t>13</w:t>
            </w:r>
          </w:p>
        </w:tc>
        <w:tc>
          <w:tcPr>
            <w:tcW w:w="3986" w:type="pct"/>
            <w:tcBorders>
              <w:left w:val="single" w:sz="2" w:space="0" w:color="B9B9B9"/>
              <w:right w:val="single" w:sz="2" w:space="0" w:color="B9B9B9"/>
            </w:tcBorders>
          </w:tcPr>
          <w:p w14:paraId="6A78D1FC" w14:textId="4B706F0A" w:rsidR="006F3987" w:rsidRPr="00D3106F" w:rsidRDefault="00CB7118" w:rsidP="006F3987">
            <w:pPr>
              <w:rPr>
                <w:b/>
                <w:bCs/>
                <w:szCs w:val="20"/>
              </w:rPr>
            </w:pPr>
            <w:r w:rsidRPr="00D3106F">
              <w:rPr>
                <w:rStyle w:val="Strong"/>
                <w:b w:val="0"/>
                <w:bCs w:val="0"/>
              </w:rPr>
              <w:t>Clinical Safety Management System (CSMS) – NHS England Clinical Safety Team</w:t>
            </w:r>
            <w:r w:rsidR="007D5A59" w:rsidRPr="007D5A59">
              <w:rPr>
                <w:rStyle w:val="Strong"/>
                <w:i/>
                <w:iCs/>
              </w:rPr>
              <w:t xml:space="preserve"> - </w:t>
            </w:r>
            <w:r w:rsidR="007D5A59" w:rsidRPr="007D5A59">
              <w:rPr>
                <w:rFonts w:asciiTheme="minorHAnsi" w:hAnsiTheme="minorHAnsi"/>
                <w:i/>
                <w:iCs/>
              </w:rPr>
              <w:t>published NHS document governing all DCB 0129/0160 processes and responsibilities.</w:t>
            </w:r>
            <w:r w:rsidR="00FA5DE5">
              <w:rPr>
                <w:rFonts w:asciiTheme="minorHAnsi" w:hAnsiTheme="minorHAnsi"/>
                <w:i/>
                <w:iCs/>
              </w:rPr>
              <w:t xml:space="preserve"> </w:t>
            </w:r>
            <w:hyperlink r:id="rId22" w:history="1">
              <w:r w:rsidR="006F3987" w:rsidRPr="00F25A33">
                <w:rPr>
                  <w:rStyle w:val="Hyperlink"/>
                  <w:i/>
                  <w:iCs/>
                </w:rPr>
                <w:t>https://www.england.nhs.uk/long-read/digital-clinical-safety-assurance/</w:t>
              </w:r>
            </w:hyperlink>
          </w:p>
        </w:tc>
        <w:tc>
          <w:tcPr>
            <w:tcW w:w="719" w:type="pct"/>
            <w:tcBorders>
              <w:left w:val="single" w:sz="2" w:space="0" w:color="B9B9B9"/>
            </w:tcBorders>
            <w:tcMar>
              <w:left w:w="28" w:type="dxa"/>
              <w:right w:w="28" w:type="dxa"/>
            </w:tcMar>
          </w:tcPr>
          <w:p w14:paraId="381CA55C" w14:textId="66C08467" w:rsidR="00CB7118" w:rsidRPr="00291F11" w:rsidRDefault="00FA5DE5" w:rsidP="008F3C4B">
            <w:pPr>
              <w:pStyle w:val="TableText"/>
              <w:jc w:val="center"/>
            </w:pPr>
            <w:r w:rsidRPr="00FA5DE5">
              <w:t>Version 1.2, 03 March 2025</w:t>
            </w:r>
          </w:p>
        </w:tc>
      </w:tr>
      <w:tr w:rsidR="00CB7118" w:rsidRPr="00952092" w14:paraId="35AA3385" w14:textId="77777777" w:rsidTr="00291F11">
        <w:trPr>
          <w:cantSplit/>
          <w:trHeight w:val="290"/>
        </w:trPr>
        <w:tc>
          <w:tcPr>
            <w:tcW w:w="295" w:type="pct"/>
            <w:tcBorders>
              <w:right w:val="single" w:sz="2" w:space="0" w:color="B9B9B9"/>
            </w:tcBorders>
          </w:tcPr>
          <w:p w14:paraId="384A343E" w14:textId="77777777" w:rsidR="00CB7118" w:rsidRDefault="00CB7118" w:rsidP="008F3C4B">
            <w:pPr>
              <w:pStyle w:val="TableText"/>
              <w:jc w:val="center"/>
            </w:pPr>
            <w:r>
              <w:t>14</w:t>
            </w:r>
          </w:p>
        </w:tc>
        <w:tc>
          <w:tcPr>
            <w:tcW w:w="3986" w:type="pct"/>
            <w:tcBorders>
              <w:left w:val="single" w:sz="2" w:space="0" w:color="B9B9B9"/>
              <w:right w:val="single" w:sz="2" w:space="0" w:color="B9B9B9"/>
            </w:tcBorders>
          </w:tcPr>
          <w:p w14:paraId="035DFB5D" w14:textId="77777777" w:rsidR="00CB7118" w:rsidRPr="00B3622E" w:rsidRDefault="00CB7118" w:rsidP="008F3C4B">
            <w:pPr>
              <w:rPr>
                <w:b/>
                <w:bCs/>
                <w:szCs w:val="20"/>
              </w:rPr>
            </w:pPr>
            <w:r w:rsidRPr="00B3622E">
              <w:rPr>
                <w:rStyle w:val="Strong"/>
                <w:b w:val="0"/>
                <w:bCs w:val="0"/>
              </w:rPr>
              <w:t xml:space="preserve">NIR Clinical Risk Management Plan (CRMP) </w:t>
            </w:r>
          </w:p>
        </w:tc>
        <w:tc>
          <w:tcPr>
            <w:tcW w:w="719" w:type="pct"/>
            <w:tcBorders>
              <w:left w:val="single" w:sz="2" w:space="0" w:color="B9B9B9"/>
            </w:tcBorders>
            <w:tcMar>
              <w:left w:w="28" w:type="dxa"/>
              <w:right w:w="28" w:type="dxa"/>
            </w:tcMar>
          </w:tcPr>
          <w:p w14:paraId="4780DCFA" w14:textId="78B4D254" w:rsidR="00CB7118" w:rsidRPr="00B3622E" w:rsidRDefault="00B3622E" w:rsidP="008F3C4B">
            <w:pPr>
              <w:pStyle w:val="TableText"/>
              <w:jc w:val="center"/>
            </w:pPr>
            <w:r w:rsidRPr="00B3622E">
              <w:t>V5</w:t>
            </w:r>
            <w:r w:rsidR="00CB7118" w:rsidRPr="00B3622E">
              <w:t>.0</w:t>
            </w:r>
          </w:p>
        </w:tc>
      </w:tr>
      <w:tr w:rsidR="00CB7118" w:rsidRPr="00952092" w14:paraId="33A456E1" w14:textId="77777777" w:rsidTr="00291F11">
        <w:trPr>
          <w:cantSplit/>
          <w:trHeight w:val="290"/>
        </w:trPr>
        <w:tc>
          <w:tcPr>
            <w:tcW w:w="295" w:type="pct"/>
            <w:tcBorders>
              <w:right w:val="single" w:sz="2" w:space="0" w:color="B9B9B9"/>
            </w:tcBorders>
          </w:tcPr>
          <w:p w14:paraId="5D8740D8" w14:textId="77777777" w:rsidR="00CB7118" w:rsidRDefault="00CB7118" w:rsidP="008F3C4B">
            <w:pPr>
              <w:pStyle w:val="TableText"/>
              <w:jc w:val="center"/>
            </w:pPr>
            <w:r>
              <w:t>15</w:t>
            </w:r>
          </w:p>
        </w:tc>
        <w:tc>
          <w:tcPr>
            <w:tcW w:w="3986" w:type="pct"/>
            <w:tcBorders>
              <w:left w:val="single" w:sz="2" w:space="0" w:color="B9B9B9"/>
              <w:right w:val="single" w:sz="2" w:space="0" w:color="B9B9B9"/>
            </w:tcBorders>
          </w:tcPr>
          <w:p w14:paraId="3AD13A2A" w14:textId="77777777" w:rsidR="00CB7118" w:rsidRPr="00D3106F" w:rsidRDefault="00CB7118" w:rsidP="008F3C4B">
            <w:pPr>
              <w:rPr>
                <w:b/>
                <w:bCs/>
                <w:szCs w:val="20"/>
              </w:rPr>
            </w:pPr>
            <w:r w:rsidRPr="00D3106F">
              <w:rPr>
                <w:rStyle w:val="Strong"/>
                <w:b w:val="0"/>
                <w:bCs w:val="0"/>
              </w:rPr>
              <w:t xml:space="preserve">NIR Operational Support Model </w:t>
            </w:r>
          </w:p>
        </w:tc>
        <w:tc>
          <w:tcPr>
            <w:tcW w:w="719" w:type="pct"/>
            <w:tcBorders>
              <w:left w:val="single" w:sz="2" w:space="0" w:color="B9B9B9"/>
            </w:tcBorders>
            <w:tcMar>
              <w:left w:w="28" w:type="dxa"/>
              <w:right w:w="28" w:type="dxa"/>
            </w:tcMar>
          </w:tcPr>
          <w:p w14:paraId="07B130A8" w14:textId="77777777" w:rsidR="00CB7118" w:rsidRPr="007B67B8" w:rsidRDefault="00CB7118" w:rsidP="008F3C4B">
            <w:pPr>
              <w:pStyle w:val="TableText"/>
              <w:jc w:val="center"/>
            </w:pPr>
            <w:r w:rsidRPr="007B67B8">
              <w:t>v2.0</w:t>
            </w:r>
          </w:p>
        </w:tc>
      </w:tr>
      <w:tr w:rsidR="00CB7118" w:rsidRPr="00952092" w14:paraId="1BEA2C68" w14:textId="77777777" w:rsidTr="00291F11">
        <w:trPr>
          <w:cantSplit/>
          <w:trHeight w:val="290"/>
        </w:trPr>
        <w:tc>
          <w:tcPr>
            <w:tcW w:w="295" w:type="pct"/>
            <w:tcBorders>
              <w:right w:val="single" w:sz="2" w:space="0" w:color="B9B9B9"/>
            </w:tcBorders>
          </w:tcPr>
          <w:p w14:paraId="42A5B1E8" w14:textId="77777777" w:rsidR="00CB7118" w:rsidRDefault="00CB7118" w:rsidP="008F3C4B">
            <w:pPr>
              <w:pStyle w:val="TableText"/>
              <w:jc w:val="center"/>
            </w:pPr>
            <w:r>
              <w:t>16</w:t>
            </w:r>
          </w:p>
        </w:tc>
        <w:tc>
          <w:tcPr>
            <w:tcW w:w="3986" w:type="pct"/>
            <w:tcBorders>
              <w:left w:val="single" w:sz="2" w:space="0" w:color="B9B9B9"/>
              <w:right w:val="single" w:sz="2" w:space="0" w:color="B9B9B9"/>
            </w:tcBorders>
          </w:tcPr>
          <w:p w14:paraId="2FDBDD44" w14:textId="77777777" w:rsidR="00157F52" w:rsidRDefault="00CB7118" w:rsidP="00157F52">
            <w:pPr>
              <w:rPr>
                <w:rStyle w:val="Strong"/>
                <w:b w:val="0"/>
                <w:bCs w:val="0"/>
              </w:rPr>
            </w:pPr>
            <w:r w:rsidRPr="00D3106F">
              <w:rPr>
                <w:rStyle w:val="Strong"/>
                <w:b w:val="0"/>
                <w:bCs w:val="0"/>
              </w:rPr>
              <w:t>Incident Management Procedure (IMP)</w:t>
            </w:r>
            <w:r w:rsidR="00157F52">
              <w:rPr>
                <w:rStyle w:val="Strong"/>
                <w:b w:val="0"/>
                <w:bCs w:val="0"/>
              </w:rPr>
              <w:t xml:space="preserve"> </w:t>
            </w:r>
          </w:p>
          <w:p w14:paraId="42C4FF60" w14:textId="0B2A7648" w:rsidR="00157F52" w:rsidRPr="00D3106F" w:rsidRDefault="008358F7" w:rsidP="00157F52">
            <w:pPr>
              <w:rPr>
                <w:b/>
                <w:bCs/>
                <w:szCs w:val="20"/>
              </w:rPr>
            </w:pPr>
            <w:hyperlink r:id="rId23" w:history="1">
              <w:r w:rsidRPr="00F25A33">
                <w:rPr>
                  <w:rStyle w:val="Hyperlink"/>
                </w:rPr>
                <w:t>https://nhsd-confluence.digital.nhs.uk/spaces/CLP/pages/1132940087/NIR+Incident+Management+Priority+Level</w:t>
              </w:r>
            </w:hyperlink>
          </w:p>
        </w:tc>
        <w:tc>
          <w:tcPr>
            <w:tcW w:w="719" w:type="pct"/>
            <w:tcBorders>
              <w:left w:val="single" w:sz="2" w:space="0" w:color="B9B9B9"/>
            </w:tcBorders>
            <w:tcMar>
              <w:left w:w="28" w:type="dxa"/>
              <w:right w:w="28" w:type="dxa"/>
            </w:tcMar>
          </w:tcPr>
          <w:p w14:paraId="1A85D933" w14:textId="2D39FCAD" w:rsidR="00CB7118" w:rsidRPr="00291F11" w:rsidRDefault="008358F7" w:rsidP="008F3C4B">
            <w:pPr>
              <w:pStyle w:val="TableText"/>
              <w:jc w:val="center"/>
              <w:rPr>
                <w:rFonts w:asciiTheme="minorHAnsi" w:hAnsiTheme="minorHAnsi" w:cstheme="minorHAnsi"/>
                <w:sz w:val="22"/>
                <w:szCs w:val="22"/>
              </w:rPr>
            </w:pPr>
            <w:r w:rsidRPr="00291F11">
              <w:rPr>
                <w:rFonts w:asciiTheme="minorHAnsi" w:hAnsiTheme="minorHAnsi" w:cstheme="minorHAnsi"/>
                <w:sz w:val="22"/>
                <w:szCs w:val="22"/>
              </w:rPr>
              <w:t>-</w:t>
            </w:r>
          </w:p>
        </w:tc>
      </w:tr>
      <w:tr w:rsidR="00CB7118" w:rsidRPr="00952092" w14:paraId="4622BBFA" w14:textId="77777777" w:rsidTr="00291F11">
        <w:trPr>
          <w:cantSplit/>
          <w:trHeight w:val="290"/>
        </w:trPr>
        <w:tc>
          <w:tcPr>
            <w:tcW w:w="295" w:type="pct"/>
            <w:tcBorders>
              <w:right w:val="single" w:sz="2" w:space="0" w:color="B9B9B9"/>
            </w:tcBorders>
          </w:tcPr>
          <w:p w14:paraId="01B65213" w14:textId="77777777" w:rsidR="00CB7118" w:rsidRDefault="00CB7118" w:rsidP="008F3C4B">
            <w:pPr>
              <w:pStyle w:val="TableText"/>
              <w:jc w:val="center"/>
            </w:pPr>
            <w:r>
              <w:t>17</w:t>
            </w:r>
          </w:p>
        </w:tc>
        <w:tc>
          <w:tcPr>
            <w:tcW w:w="3986" w:type="pct"/>
            <w:tcBorders>
              <w:left w:val="single" w:sz="2" w:space="0" w:color="B9B9B9"/>
              <w:right w:val="single" w:sz="2" w:space="0" w:color="B9B9B9"/>
            </w:tcBorders>
          </w:tcPr>
          <w:p w14:paraId="0F6AD94D" w14:textId="77777777" w:rsidR="00CB7118" w:rsidRDefault="00CB7118" w:rsidP="008F3C4B">
            <w:pPr>
              <w:rPr>
                <w:rStyle w:val="Strong"/>
                <w:b w:val="0"/>
                <w:bCs w:val="0"/>
              </w:rPr>
            </w:pPr>
            <w:r w:rsidRPr="00D3106F">
              <w:rPr>
                <w:rStyle w:val="Strong"/>
                <w:b w:val="0"/>
                <w:bCs w:val="0"/>
              </w:rPr>
              <w:t>NIR Change Management Process</w:t>
            </w:r>
          </w:p>
          <w:p w14:paraId="4436BA76" w14:textId="77777777" w:rsidR="00662374" w:rsidRDefault="00662374" w:rsidP="007953CF">
            <w:pPr>
              <w:rPr>
                <w:szCs w:val="20"/>
              </w:rPr>
            </w:pPr>
            <w:hyperlink r:id="rId24" w:history="1">
              <w:r w:rsidRPr="007953CF">
                <w:rPr>
                  <w:rStyle w:val="Hyperlink"/>
                  <w:rFonts w:ascii="Arial" w:hAnsi="Arial"/>
                  <w:szCs w:val="20"/>
                </w:rPr>
                <w:t>https://nhsd-confluence.digital.nhs.uk/spaces/CLP/pages/1154670369/NIR+-+New+Feature+Requirements+Process</w:t>
              </w:r>
            </w:hyperlink>
          </w:p>
          <w:p w14:paraId="0F71881E" w14:textId="77777777" w:rsidR="0095697E" w:rsidRPr="0095697E" w:rsidRDefault="0095697E" w:rsidP="007953CF">
            <w:pPr>
              <w:rPr>
                <w:szCs w:val="20"/>
              </w:rPr>
            </w:pPr>
            <w:r w:rsidRPr="0095697E">
              <w:rPr>
                <w:szCs w:val="20"/>
              </w:rPr>
              <w:t>also:</w:t>
            </w:r>
          </w:p>
          <w:p w14:paraId="5E596300" w14:textId="117FB2F4" w:rsidR="0095697E" w:rsidRPr="00D3106F" w:rsidRDefault="0095697E" w:rsidP="007953CF">
            <w:pPr>
              <w:rPr>
                <w:b/>
                <w:bCs/>
                <w:szCs w:val="20"/>
              </w:rPr>
            </w:pPr>
            <w:r>
              <w:rPr>
                <w:rStyle w:val="Strong"/>
              </w:rPr>
              <w:t xml:space="preserve">- </w:t>
            </w:r>
            <w:hyperlink r:id="rId25" w:history="1">
              <w:r w:rsidRPr="00F25A33">
                <w:rPr>
                  <w:rStyle w:val="Hyperlink"/>
                </w:rPr>
                <w:t>https://nhsd-confluence.digital.nhs.uk/spaces/CLP/pages/1187350949/NIR+Key+Operating+Procedures</w:t>
              </w:r>
            </w:hyperlink>
          </w:p>
        </w:tc>
        <w:tc>
          <w:tcPr>
            <w:tcW w:w="719" w:type="pct"/>
            <w:tcBorders>
              <w:left w:val="single" w:sz="2" w:space="0" w:color="B9B9B9"/>
            </w:tcBorders>
            <w:tcMar>
              <w:left w:w="28" w:type="dxa"/>
              <w:right w:w="28" w:type="dxa"/>
            </w:tcMar>
          </w:tcPr>
          <w:p w14:paraId="2637CF91" w14:textId="62A9BE07" w:rsidR="00CB7118" w:rsidRPr="00291F11" w:rsidRDefault="007953CF"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rsidRPr="00952092" w14:paraId="68475A9D" w14:textId="77777777" w:rsidTr="00291F11">
        <w:trPr>
          <w:cantSplit/>
          <w:trHeight w:val="290"/>
        </w:trPr>
        <w:tc>
          <w:tcPr>
            <w:tcW w:w="295" w:type="pct"/>
            <w:tcBorders>
              <w:right w:val="single" w:sz="2" w:space="0" w:color="B9B9B9"/>
            </w:tcBorders>
          </w:tcPr>
          <w:p w14:paraId="3D92388B" w14:textId="77777777" w:rsidR="00CB7118" w:rsidRDefault="00CB7118" w:rsidP="008F3C4B">
            <w:pPr>
              <w:pStyle w:val="TableText"/>
              <w:jc w:val="center"/>
            </w:pPr>
            <w:r>
              <w:t>18</w:t>
            </w:r>
          </w:p>
        </w:tc>
        <w:tc>
          <w:tcPr>
            <w:tcW w:w="3986" w:type="pct"/>
            <w:tcBorders>
              <w:left w:val="single" w:sz="2" w:space="0" w:color="B9B9B9"/>
              <w:right w:val="single" w:sz="2" w:space="0" w:color="B9B9B9"/>
            </w:tcBorders>
          </w:tcPr>
          <w:p w14:paraId="069E01F5" w14:textId="0D9A5C43" w:rsidR="00CB7118" w:rsidRPr="00D3106F" w:rsidRDefault="00CB7118" w:rsidP="008F3C4B">
            <w:pPr>
              <w:rPr>
                <w:b/>
                <w:bCs/>
                <w:szCs w:val="20"/>
              </w:rPr>
            </w:pPr>
            <w:r w:rsidRPr="00D3106F">
              <w:rPr>
                <w:rStyle w:val="Strong"/>
                <w:b w:val="0"/>
                <w:bCs w:val="0"/>
              </w:rPr>
              <w:t>NIR Service Review Reports</w:t>
            </w:r>
            <w:r w:rsidR="00B309EA">
              <w:rPr>
                <w:rStyle w:val="Strong"/>
                <w:b w:val="0"/>
                <w:bCs w:val="0"/>
              </w:rPr>
              <w:t xml:space="preserve"> </w:t>
            </w:r>
            <w:r w:rsidR="00B309EA" w:rsidRPr="00B309EA">
              <w:rPr>
                <w:rStyle w:val="Strong"/>
              </w:rPr>
              <w:t xml:space="preserve">- </w:t>
            </w:r>
            <w:r w:rsidR="00B309EA" w:rsidRPr="00B309EA">
              <w:rPr>
                <w:rFonts w:asciiTheme="minorHAnsi" w:hAnsiTheme="minorHAnsi"/>
              </w:rPr>
              <w:t xml:space="preserve">Derived from </w:t>
            </w:r>
            <w:r w:rsidR="00B309EA" w:rsidRPr="00B309EA">
              <w:rPr>
                <w:rFonts w:asciiTheme="minorHAnsi" w:hAnsiTheme="minorHAnsi"/>
                <w:i/>
                <w:iCs/>
              </w:rPr>
              <w:t>NHS England Service Review and KPI Reporting Framework (DDC, 2025)</w:t>
            </w:r>
            <w:r w:rsidR="00B309EA" w:rsidRPr="00B309EA">
              <w:rPr>
                <w:rFonts w:asciiTheme="minorHAnsi" w:hAnsiTheme="minorHAnsi"/>
              </w:rPr>
              <w:t xml:space="preserve"> and </w:t>
            </w:r>
            <w:r w:rsidR="00B309EA" w:rsidRPr="00B309EA">
              <w:rPr>
                <w:rFonts w:asciiTheme="minorHAnsi" w:hAnsiTheme="minorHAnsi"/>
                <w:i/>
                <w:iCs/>
              </w:rPr>
              <w:t>NIR Reporting Dashboard v164</w:t>
            </w:r>
            <w:r w:rsidR="00B309EA" w:rsidRPr="00B309EA">
              <w:rPr>
                <w:rFonts w:asciiTheme="minorHAnsi" w:hAnsiTheme="minorHAnsi"/>
              </w:rPr>
              <w:t>.</w:t>
            </w:r>
          </w:p>
        </w:tc>
        <w:tc>
          <w:tcPr>
            <w:tcW w:w="719" w:type="pct"/>
            <w:tcBorders>
              <w:left w:val="single" w:sz="2" w:space="0" w:color="B9B9B9"/>
            </w:tcBorders>
            <w:tcMar>
              <w:left w:w="28" w:type="dxa"/>
              <w:right w:w="28" w:type="dxa"/>
            </w:tcMar>
          </w:tcPr>
          <w:p w14:paraId="76BDBEA3" w14:textId="613A334F" w:rsidR="00CB7118" w:rsidRPr="00291F11" w:rsidRDefault="000F18EC" w:rsidP="008F3C4B">
            <w:pPr>
              <w:pStyle w:val="TableText"/>
              <w:jc w:val="center"/>
              <w:rPr>
                <w:rFonts w:asciiTheme="minorHAnsi" w:hAnsiTheme="minorHAnsi" w:cstheme="minorHAnsi"/>
                <w:sz w:val="22"/>
                <w:szCs w:val="22"/>
              </w:rPr>
            </w:pPr>
            <w:r>
              <w:rPr>
                <w:rFonts w:asciiTheme="minorHAnsi" w:hAnsiTheme="minorHAnsi" w:cstheme="minorHAnsi"/>
                <w:sz w:val="22"/>
                <w:szCs w:val="22"/>
              </w:rPr>
              <w:t>A</w:t>
            </w:r>
            <w:r w:rsidRPr="000F18EC">
              <w:rPr>
                <w:rFonts w:asciiTheme="minorHAnsi" w:hAnsiTheme="minorHAnsi" w:cstheme="minorHAnsi"/>
                <w:sz w:val="22"/>
                <w:szCs w:val="22"/>
              </w:rPr>
              <w:t>ligned to NHS DDC Reporting Framework (2025)</w:t>
            </w:r>
          </w:p>
        </w:tc>
      </w:tr>
      <w:tr w:rsidR="00CB7118" w14:paraId="61C5E108" w14:textId="77777777" w:rsidTr="00291F11">
        <w:trPr>
          <w:cantSplit/>
          <w:trHeight w:val="290"/>
        </w:trPr>
        <w:tc>
          <w:tcPr>
            <w:tcW w:w="295" w:type="pct"/>
            <w:tcBorders>
              <w:right w:val="single" w:sz="2" w:space="0" w:color="B9B9B9"/>
            </w:tcBorders>
          </w:tcPr>
          <w:p w14:paraId="146C2C5A" w14:textId="77777777" w:rsidR="00CB7118" w:rsidRDefault="00CB7118" w:rsidP="008F3C4B">
            <w:pPr>
              <w:pStyle w:val="TableText"/>
              <w:jc w:val="center"/>
            </w:pPr>
            <w:r>
              <w:t>19</w:t>
            </w:r>
          </w:p>
        </w:tc>
        <w:tc>
          <w:tcPr>
            <w:tcW w:w="3986" w:type="pct"/>
            <w:tcBorders>
              <w:left w:val="single" w:sz="2" w:space="0" w:color="B9B9B9"/>
              <w:right w:val="single" w:sz="2" w:space="0" w:color="B9B9B9"/>
            </w:tcBorders>
          </w:tcPr>
          <w:p w14:paraId="13436194" w14:textId="7390CC8D" w:rsidR="00CB7118" w:rsidRPr="00D3106F" w:rsidRDefault="00CB7118" w:rsidP="0088003C">
            <w:pPr>
              <w:tabs>
                <w:tab w:val="left" w:pos="4770"/>
              </w:tabs>
              <w:rPr>
                <w:b/>
                <w:bCs/>
                <w:szCs w:val="20"/>
              </w:rPr>
            </w:pPr>
            <w:r w:rsidRPr="00D3106F">
              <w:rPr>
                <w:rStyle w:val="Strong"/>
                <w:b w:val="0"/>
                <w:bCs w:val="0"/>
              </w:rPr>
              <w:t>NIR Service Desk Process Flow</w:t>
            </w:r>
            <w:r w:rsidR="0088003C" w:rsidRPr="0088003C">
              <w:rPr>
                <w:rStyle w:val="Strong"/>
                <w:b w:val="0"/>
                <w:bCs w:val="0"/>
                <w:i/>
                <w:iCs/>
              </w:rPr>
              <w:t xml:space="preserve"> - Based on NHS England DDC Service Operations Handbook (2025) and ITIL v4 Incident and Request Fulfilment workflows.</w:t>
            </w:r>
          </w:p>
        </w:tc>
        <w:tc>
          <w:tcPr>
            <w:tcW w:w="719" w:type="pct"/>
            <w:tcBorders>
              <w:left w:val="single" w:sz="2" w:space="0" w:color="B9B9B9"/>
            </w:tcBorders>
            <w:tcMar>
              <w:left w:w="28" w:type="dxa"/>
              <w:right w:w="28" w:type="dxa"/>
            </w:tcMar>
          </w:tcPr>
          <w:p w14:paraId="1B031EEB" w14:textId="6B1E2F73" w:rsidR="00CB7118" w:rsidRPr="00291F11" w:rsidRDefault="003C3457" w:rsidP="008F3C4B">
            <w:pPr>
              <w:pStyle w:val="TableText"/>
              <w:jc w:val="center"/>
              <w:rPr>
                <w:rFonts w:asciiTheme="minorHAnsi" w:hAnsiTheme="minorHAnsi" w:cstheme="minorHAnsi"/>
                <w:sz w:val="22"/>
                <w:szCs w:val="22"/>
              </w:rPr>
            </w:pPr>
            <w:r w:rsidRPr="003C3457">
              <w:rPr>
                <w:rFonts w:asciiTheme="minorHAnsi" w:hAnsiTheme="minorHAnsi" w:cstheme="minorHAnsi"/>
                <w:sz w:val="22"/>
                <w:szCs w:val="22"/>
              </w:rPr>
              <w:t>Aligned to NHS DDC Service Desk Framework (2025)</w:t>
            </w:r>
          </w:p>
        </w:tc>
      </w:tr>
      <w:tr w:rsidR="00CB7118" w14:paraId="37EA8795" w14:textId="77777777" w:rsidTr="00291F11">
        <w:trPr>
          <w:cantSplit/>
          <w:trHeight w:val="290"/>
        </w:trPr>
        <w:tc>
          <w:tcPr>
            <w:tcW w:w="295" w:type="pct"/>
            <w:tcBorders>
              <w:right w:val="single" w:sz="2" w:space="0" w:color="B9B9B9"/>
            </w:tcBorders>
          </w:tcPr>
          <w:p w14:paraId="7F56CA91" w14:textId="77777777" w:rsidR="00CB7118" w:rsidRDefault="00CB7118" w:rsidP="008F3C4B">
            <w:pPr>
              <w:pStyle w:val="TableText"/>
              <w:jc w:val="center"/>
            </w:pPr>
            <w:r>
              <w:t>20</w:t>
            </w:r>
          </w:p>
        </w:tc>
        <w:tc>
          <w:tcPr>
            <w:tcW w:w="3986" w:type="pct"/>
            <w:tcBorders>
              <w:left w:val="single" w:sz="2" w:space="0" w:color="B9B9B9"/>
              <w:right w:val="single" w:sz="2" w:space="0" w:color="B9B9B9"/>
            </w:tcBorders>
          </w:tcPr>
          <w:p w14:paraId="617283B6" w14:textId="2898C180" w:rsidR="00CB7118" w:rsidRPr="00D3106F" w:rsidRDefault="00CB7118" w:rsidP="008F3C4B">
            <w:pPr>
              <w:rPr>
                <w:b/>
                <w:bCs/>
                <w:szCs w:val="20"/>
              </w:rPr>
            </w:pPr>
            <w:r w:rsidRPr="00D3106F">
              <w:rPr>
                <w:rStyle w:val="Strong"/>
                <w:b w:val="0"/>
                <w:bCs w:val="0"/>
              </w:rPr>
              <w:t>NIR Monitoring and Alerting Platform</w:t>
            </w:r>
            <w:r w:rsidR="001F4F3D">
              <w:rPr>
                <w:rStyle w:val="Strong"/>
                <w:b w:val="0"/>
                <w:bCs w:val="0"/>
              </w:rPr>
              <w:t xml:space="preserve"> </w:t>
            </w:r>
            <w:r w:rsidR="001F4F3D" w:rsidRPr="001F4F3D">
              <w:rPr>
                <w:rStyle w:val="Strong"/>
              </w:rPr>
              <w:t xml:space="preserve">- </w:t>
            </w:r>
            <w:r w:rsidR="001F4F3D" w:rsidRPr="001F4F3D">
              <w:rPr>
                <w:rFonts w:asciiTheme="minorHAnsi" w:hAnsiTheme="minorHAnsi"/>
                <w:i/>
                <w:iCs/>
              </w:rPr>
              <w:t>NIR Observability and Logging Strategy v14 (12 Sep 2025)</w:t>
            </w:r>
            <w:r w:rsidR="001F4F3D" w:rsidRPr="001F4F3D">
              <w:rPr>
                <w:rFonts w:asciiTheme="minorHAnsi" w:hAnsiTheme="minorHAnsi"/>
              </w:rPr>
              <w:t xml:space="preserve">; built on </w:t>
            </w:r>
            <w:r w:rsidR="001F4F3D" w:rsidRPr="001F4F3D">
              <w:rPr>
                <w:rFonts w:asciiTheme="minorHAnsi" w:hAnsiTheme="minorHAnsi"/>
                <w:i/>
                <w:iCs/>
              </w:rPr>
              <w:t>AWS CloudWatch</w:t>
            </w:r>
            <w:r w:rsidR="001F4F3D" w:rsidRPr="001F4F3D">
              <w:rPr>
                <w:rFonts w:asciiTheme="minorHAnsi" w:hAnsiTheme="minorHAnsi"/>
              </w:rPr>
              <w:t xml:space="preserve">, </w:t>
            </w:r>
            <w:r w:rsidR="001F4F3D" w:rsidRPr="001F4F3D">
              <w:rPr>
                <w:rFonts w:asciiTheme="minorHAnsi" w:hAnsiTheme="minorHAnsi"/>
                <w:i/>
                <w:iCs/>
              </w:rPr>
              <w:t>Splunk</w:t>
            </w:r>
            <w:r w:rsidR="001F4F3D" w:rsidRPr="001F4F3D">
              <w:rPr>
                <w:rFonts w:asciiTheme="minorHAnsi" w:hAnsiTheme="minorHAnsi"/>
              </w:rPr>
              <w:t xml:space="preserve">, and </w:t>
            </w:r>
            <w:r w:rsidR="001F4F3D" w:rsidRPr="001F4F3D">
              <w:rPr>
                <w:rFonts w:asciiTheme="minorHAnsi" w:hAnsiTheme="minorHAnsi"/>
                <w:i/>
                <w:iCs/>
              </w:rPr>
              <w:t>NHS CSOC integration standards (2024)</w:t>
            </w:r>
            <w:r w:rsidR="001F4F3D" w:rsidRPr="001F4F3D">
              <w:rPr>
                <w:rFonts w:asciiTheme="minorHAnsi" w:hAnsiTheme="minorHAnsi"/>
              </w:rPr>
              <w:t>.</w:t>
            </w:r>
          </w:p>
        </w:tc>
        <w:tc>
          <w:tcPr>
            <w:tcW w:w="719" w:type="pct"/>
            <w:tcBorders>
              <w:left w:val="single" w:sz="2" w:space="0" w:color="B9B9B9"/>
            </w:tcBorders>
            <w:tcMar>
              <w:left w:w="28" w:type="dxa"/>
              <w:right w:w="28" w:type="dxa"/>
            </w:tcMar>
          </w:tcPr>
          <w:p w14:paraId="0133B670" w14:textId="12691840" w:rsidR="00CB7118" w:rsidRPr="00291F11" w:rsidRDefault="005378EB" w:rsidP="008F3C4B">
            <w:pPr>
              <w:pStyle w:val="TableText"/>
              <w:jc w:val="center"/>
              <w:rPr>
                <w:rFonts w:asciiTheme="minorHAnsi" w:hAnsiTheme="minorHAnsi" w:cstheme="minorHAnsi"/>
                <w:sz w:val="22"/>
                <w:szCs w:val="22"/>
              </w:rPr>
            </w:pPr>
            <w:r w:rsidRPr="005378EB">
              <w:rPr>
                <w:rFonts w:asciiTheme="minorHAnsi" w:hAnsiTheme="minorHAnsi" w:cstheme="minorHAnsi"/>
                <w:sz w:val="22"/>
                <w:szCs w:val="22"/>
              </w:rPr>
              <w:t>Derived from NIR Observability v14 (12 Sep 2025)</w:t>
            </w:r>
          </w:p>
        </w:tc>
      </w:tr>
      <w:tr w:rsidR="00CB7118" w14:paraId="32DD83FC" w14:textId="77777777" w:rsidTr="00291F11">
        <w:trPr>
          <w:cantSplit/>
          <w:trHeight w:val="290"/>
        </w:trPr>
        <w:tc>
          <w:tcPr>
            <w:tcW w:w="295" w:type="pct"/>
            <w:tcBorders>
              <w:right w:val="single" w:sz="2" w:space="0" w:color="B9B9B9"/>
            </w:tcBorders>
          </w:tcPr>
          <w:p w14:paraId="3B602F01" w14:textId="77777777" w:rsidR="00CB7118" w:rsidRDefault="00CB7118" w:rsidP="008F3C4B">
            <w:pPr>
              <w:pStyle w:val="TableText"/>
              <w:jc w:val="center"/>
            </w:pPr>
            <w:r>
              <w:t>21</w:t>
            </w:r>
          </w:p>
        </w:tc>
        <w:tc>
          <w:tcPr>
            <w:tcW w:w="3986" w:type="pct"/>
            <w:tcBorders>
              <w:left w:val="single" w:sz="2" w:space="0" w:color="B9B9B9"/>
              <w:right w:val="single" w:sz="2" w:space="0" w:color="B9B9B9"/>
            </w:tcBorders>
          </w:tcPr>
          <w:p w14:paraId="6B83F82D" w14:textId="77777777" w:rsidR="00CB7118" w:rsidRDefault="00CB7118" w:rsidP="008F3C4B">
            <w:pPr>
              <w:rPr>
                <w:rStyle w:val="Strong"/>
                <w:b w:val="0"/>
                <w:bCs w:val="0"/>
              </w:rPr>
            </w:pPr>
            <w:r w:rsidRPr="00D3106F">
              <w:rPr>
                <w:rStyle w:val="Strong"/>
                <w:b w:val="0"/>
                <w:bCs w:val="0"/>
              </w:rPr>
              <w:t>NIR Interoperability Testing Procedure</w:t>
            </w:r>
          </w:p>
          <w:p w14:paraId="0E9B285A" w14:textId="282BD2A8" w:rsidR="003E0151" w:rsidRPr="003E0151" w:rsidRDefault="003E0151" w:rsidP="003E0151">
            <w:pPr>
              <w:rPr>
                <w:szCs w:val="20"/>
              </w:rPr>
            </w:pPr>
            <w:hyperlink r:id="rId26" w:history="1">
              <w:r w:rsidRPr="003E0151">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7167B6D2" w14:textId="343D323A" w:rsidR="00CB7118" w:rsidRPr="00291F11" w:rsidRDefault="003E0151"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88B158A" w14:textId="77777777" w:rsidTr="00291F11">
        <w:trPr>
          <w:cantSplit/>
          <w:trHeight w:val="290"/>
        </w:trPr>
        <w:tc>
          <w:tcPr>
            <w:tcW w:w="295" w:type="pct"/>
            <w:tcBorders>
              <w:right w:val="single" w:sz="2" w:space="0" w:color="B9B9B9"/>
            </w:tcBorders>
          </w:tcPr>
          <w:p w14:paraId="771D3163" w14:textId="77777777" w:rsidR="00CB7118" w:rsidRDefault="00CB7118" w:rsidP="008F3C4B">
            <w:pPr>
              <w:pStyle w:val="TableText"/>
              <w:jc w:val="center"/>
            </w:pPr>
            <w:r>
              <w:t>22</w:t>
            </w:r>
          </w:p>
        </w:tc>
        <w:tc>
          <w:tcPr>
            <w:tcW w:w="3986" w:type="pct"/>
            <w:tcBorders>
              <w:left w:val="single" w:sz="2" w:space="0" w:color="B9B9B9"/>
              <w:right w:val="single" w:sz="2" w:space="0" w:color="B9B9B9"/>
            </w:tcBorders>
          </w:tcPr>
          <w:p w14:paraId="354C3A21" w14:textId="77777777" w:rsidR="00CB7118" w:rsidRPr="00D3106F" w:rsidRDefault="00CB7118" w:rsidP="008F3C4B">
            <w:pPr>
              <w:rPr>
                <w:b/>
                <w:bCs/>
                <w:szCs w:val="20"/>
              </w:rPr>
            </w:pPr>
            <w:r w:rsidRPr="00D3106F">
              <w:rPr>
                <w:rStyle w:val="Strong"/>
                <w:b w:val="0"/>
                <w:bCs w:val="0"/>
              </w:rPr>
              <w:t>NIR Confluence Workspace</w:t>
            </w:r>
          </w:p>
        </w:tc>
        <w:tc>
          <w:tcPr>
            <w:tcW w:w="719" w:type="pct"/>
            <w:tcBorders>
              <w:left w:val="single" w:sz="2" w:space="0" w:color="B9B9B9"/>
            </w:tcBorders>
            <w:tcMar>
              <w:left w:w="28" w:type="dxa"/>
              <w:right w:w="28" w:type="dxa"/>
            </w:tcMar>
          </w:tcPr>
          <w:p w14:paraId="485ED12A" w14:textId="3C8E40AF" w:rsidR="002525E8" w:rsidRDefault="002525E8" w:rsidP="006A745F">
            <w:pPr>
              <w:pStyle w:val="TableText"/>
              <w:jc w:val="center"/>
              <w:rPr>
                <w:rFonts w:asciiTheme="minorHAnsi" w:hAnsiTheme="minorHAnsi" w:cstheme="minorHAnsi"/>
                <w:sz w:val="22"/>
                <w:szCs w:val="22"/>
              </w:rPr>
            </w:pPr>
            <w:hyperlink r:id="rId27" w:history="1">
              <w:r>
                <w:rPr>
                  <w:rStyle w:val="Hyperlink"/>
                  <w:rFonts w:cstheme="minorHAnsi"/>
                  <w:sz w:val="22"/>
                  <w:szCs w:val="22"/>
                </w:rPr>
                <w:t>NIR</w:t>
              </w:r>
            </w:hyperlink>
          </w:p>
        </w:tc>
      </w:tr>
      <w:tr w:rsidR="00CB7118" w14:paraId="3FC9D796" w14:textId="77777777" w:rsidTr="00291F11">
        <w:trPr>
          <w:cantSplit/>
          <w:trHeight w:val="290"/>
        </w:trPr>
        <w:tc>
          <w:tcPr>
            <w:tcW w:w="295" w:type="pct"/>
            <w:tcBorders>
              <w:right w:val="single" w:sz="2" w:space="0" w:color="B9B9B9"/>
            </w:tcBorders>
          </w:tcPr>
          <w:p w14:paraId="0AC654CF" w14:textId="77777777" w:rsidR="00CB7118" w:rsidRDefault="00CB7118" w:rsidP="008F3C4B">
            <w:pPr>
              <w:pStyle w:val="TableText"/>
              <w:jc w:val="center"/>
            </w:pPr>
            <w:r>
              <w:t>23</w:t>
            </w:r>
          </w:p>
        </w:tc>
        <w:tc>
          <w:tcPr>
            <w:tcW w:w="3986" w:type="pct"/>
            <w:tcBorders>
              <w:left w:val="single" w:sz="2" w:space="0" w:color="B9B9B9"/>
              <w:right w:val="single" w:sz="2" w:space="0" w:color="B9B9B9"/>
            </w:tcBorders>
          </w:tcPr>
          <w:p w14:paraId="6683DE23" w14:textId="77777777" w:rsidR="009A42CA" w:rsidRDefault="00CB7118" w:rsidP="008F3C4B">
            <w:pPr>
              <w:rPr>
                <w:rStyle w:val="Strong"/>
              </w:rPr>
            </w:pPr>
            <w:r w:rsidRPr="00D3106F">
              <w:rPr>
                <w:rStyle w:val="Strong"/>
                <w:b w:val="0"/>
                <w:bCs w:val="0"/>
              </w:rPr>
              <w:t>NIR Governance Model</w:t>
            </w:r>
            <w:r w:rsidR="009A42CA">
              <w:rPr>
                <w:rStyle w:val="Strong"/>
                <w:b w:val="0"/>
                <w:bCs w:val="0"/>
              </w:rPr>
              <w:t xml:space="preserve"> </w:t>
            </w:r>
            <w:r w:rsidR="009A42CA" w:rsidRPr="009C71A0">
              <w:rPr>
                <w:rStyle w:val="Strong"/>
                <w:b w:val="0"/>
                <w:bCs w:val="0"/>
              </w:rPr>
              <w:t>– Derived from</w:t>
            </w:r>
          </w:p>
          <w:p w14:paraId="0559876B" w14:textId="3B42BA15" w:rsidR="009A42CA" w:rsidRPr="00D3106F" w:rsidRDefault="009A42CA" w:rsidP="00C10177">
            <w:pPr>
              <w:rPr>
                <w:b/>
                <w:bCs/>
                <w:szCs w:val="20"/>
              </w:rPr>
            </w:pPr>
            <w:hyperlink r:id="rId28" w:history="1">
              <w:r w:rsidRPr="00F25A33">
                <w:rPr>
                  <w:rStyle w:val="Hyperlink"/>
                </w:rPr>
                <w:t>https://nhsd-confluence.digital.nhs.uk/spaces/CLP/pages/1161775785/API+Catalogue+Website+Requirements</w:t>
              </w:r>
            </w:hyperlink>
          </w:p>
        </w:tc>
        <w:tc>
          <w:tcPr>
            <w:tcW w:w="719" w:type="pct"/>
            <w:tcBorders>
              <w:left w:val="single" w:sz="2" w:space="0" w:color="B9B9B9"/>
            </w:tcBorders>
            <w:tcMar>
              <w:left w:w="28" w:type="dxa"/>
              <w:right w:w="28" w:type="dxa"/>
            </w:tcMar>
          </w:tcPr>
          <w:p w14:paraId="56ACD73B" w14:textId="09E97872"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6F16F0AE" w14:textId="77777777" w:rsidTr="00291F11">
        <w:trPr>
          <w:cantSplit/>
          <w:trHeight w:val="290"/>
        </w:trPr>
        <w:tc>
          <w:tcPr>
            <w:tcW w:w="295" w:type="pct"/>
            <w:tcBorders>
              <w:right w:val="single" w:sz="2" w:space="0" w:color="B9B9B9"/>
            </w:tcBorders>
          </w:tcPr>
          <w:p w14:paraId="3D607793" w14:textId="77777777" w:rsidR="00CB7118" w:rsidRDefault="00CB7118" w:rsidP="008F3C4B">
            <w:pPr>
              <w:pStyle w:val="TableText"/>
              <w:jc w:val="center"/>
            </w:pPr>
            <w:r>
              <w:lastRenderedPageBreak/>
              <w:t>24</w:t>
            </w:r>
          </w:p>
        </w:tc>
        <w:tc>
          <w:tcPr>
            <w:tcW w:w="3986" w:type="pct"/>
            <w:tcBorders>
              <w:left w:val="single" w:sz="2" w:space="0" w:color="B9B9B9"/>
              <w:right w:val="single" w:sz="2" w:space="0" w:color="B9B9B9"/>
            </w:tcBorders>
          </w:tcPr>
          <w:p w14:paraId="0F47349D" w14:textId="77777777" w:rsidR="00CB7118" w:rsidRDefault="00CB7118" w:rsidP="008F3C4B">
            <w:pPr>
              <w:rPr>
                <w:rStyle w:val="Strong"/>
                <w:b w:val="0"/>
                <w:bCs w:val="0"/>
              </w:rPr>
            </w:pPr>
            <w:r w:rsidRPr="00D3106F">
              <w:rPr>
                <w:rStyle w:val="Strong"/>
                <w:b w:val="0"/>
                <w:bCs w:val="0"/>
              </w:rPr>
              <w:t>NIR Clinical Risk Management File (CRMF)</w:t>
            </w:r>
          </w:p>
          <w:p w14:paraId="546A3796" w14:textId="3365072A" w:rsidR="00C10177" w:rsidRPr="00C10177" w:rsidRDefault="00C10177" w:rsidP="00C10177">
            <w:pPr>
              <w:rPr>
                <w:szCs w:val="20"/>
              </w:rPr>
            </w:pPr>
            <w:hyperlink r:id="rId29" w:history="1">
              <w:r w:rsidRPr="00C10177">
                <w:rPr>
                  <w:rStyle w:val="Hyperlink"/>
                  <w:rFonts w:ascii="Arial" w:hAnsi="Arial"/>
                  <w:szCs w:val="20"/>
                </w:rPr>
                <w:t>https://nhsd-confluence.digital.nhs.uk/spaces/CLP/pages/1195113158/NIR+-+Clinical+Safety+DCB+0129+and+DCB+0160</w:t>
              </w:r>
            </w:hyperlink>
          </w:p>
        </w:tc>
        <w:tc>
          <w:tcPr>
            <w:tcW w:w="719" w:type="pct"/>
            <w:tcBorders>
              <w:left w:val="single" w:sz="2" w:space="0" w:color="B9B9B9"/>
            </w:tcBorders>
            <w:tcMar>
              <w:left w:w="28" w:type="dxa"/>
              <w:right w:w="28" w:type="dxa"/>
            </w:tcMar>
          </w:tcPr>
          <w:p w14:paraId="09E34691" w14:textId="45D09AF8"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062DC538" w14:textId="77777777" w:rsidTr="00291F11">
        <w:trPr>
          <w:cantSplit/>
          <w:trHeight w:val="290"/>
        </w:trPr>
        <w:tc>
          <w:tcPr>
            <w:tcW w:w="295" w:type="pct"/>
            <w:tcBorders>
              <w:right w:val="single" w:sz="2" w:space="0" w:color="B9B9B9"/>
            </w:tcBorders>
          </w:tcPr>
          <w:p w14:paraId="5E1C3267" w14:textId="77777777" w:rsidR="00CB7118" w:rsidRDefault="00CB7118" w:rsidP="008F3C4B">
            <w:pPr>
              <w:pStyle w:val="TableText"/>
              <w:jc w:val="center"/>
            </w:pPr>
            <w:r>
              <w:t>25</w:t>
            </w:r>
          </w:p>
        </w:tc>
        <w:tc>
          <w:tcPr>
            <w:tcW w:w="3986" w:type="pct"/>
            <w:tcBorders>
              <w:left w:val="single" w:sz="2" w:space="0" w:color="B9B9B9"/>
              <w:right w:val="single" w:sz="2" w:space="0" w:color="B9B9B9"/>
            </w:tcBorders>
          </w:tcPr>
          <w:p w14:paraId="1EC7A057" w14:textId="77777777" w:rsidR="00CB7118" w:rsidRDefault="00CB7118" w:rsidP="008F3C4B">
            <w:pPr>
              <w:rPr>
                <w:rStyle w:val="Strong"/>
                <w:b w:val="0"/>
                <w:bCs w:val="0"/>
              </w:rPr>
            </w:pPr>
            <w:r w:rsidRPr="00D3106F">
              <w:rPr>
                <w:rStyle w:val="Strong"/>
                <w:b w:val="0"/>
                <w:bCs w:val="0"/>
              </w:rPr>
              <w:t>Clinical Safety Workshop Records</w:t>
            </w:r>
          </w:p>
          <w:p w14:paraId="64AA9409" w14:textId="04F36DE9" w:rsidR="00C10177" w:rsidRPr="00154A54" w:rsidRDefault="00154A54" w:rsidP="008F3C4B">
            <w:pPr>
              <w:rPr>
                <w:szCs w:val="20"/>
              </w:rPr>
            </w:pPr>
            <w:hyperlink r:id="rId30" w:history="1">
              <w:r w:rsidRPr="00154A54">
                <w:rPr>
                  <w:rStyle w:val="Hyperlink"/>
                  <w:rFonts w:ascii="Arial" w:hAnsi="Arial"/>
                  <w:szCs w:val="20"/>
                </w:rPr>
                <w:t>https://nhsd-confluence.digital.nhs.uk/spaces/CLP/pages/1208353642/NIR+-+Hazard+Assessment+Workshop+1+30+09+2025</w:t>
              </w:r>
            </w:hyperlink>
          </w:p>
          <w:p w14:paraId="675F9680" w14:textId="77777777" w:rsidR="00154A54" w:rsidRPr="00154A54" w:rsidRDefault="00154A54" w:rsidP="008F3C4B">
            <w:pPr>
              <w:rPr>
                <w:szCs w:val="20"/>
              </w:rPr>
            </w:pPr>
            <w:r w:rsidRPr="00154A54">
              <w:rPr>
                <w:szCs w:val="20"/>
              </w:rPr>
              <w:t>also:</w:t>
            </w:r>
          </w:p>
          <w:p w14:paraId="2D70D7EC" w14:textId="318FA907" w:rsidR="00154A54" w:rsidRPr="00D3106F" w:rsidRDefault="00154A54" w:rsidP="00154A54">
            <w:pPr>
              <w:rPr>
                <w:b/>
                <w:bCs/>
                <w:szCs w:val="20"/>
              </w:rPr>
            </w:pPr>
            <w:hyperlink r:id="rId31" w:history="1">
              <w:r w:rsidRPr="00154A54">
                <w:rPr>
                  <w:rStyle w:val="Hyperlink"/>
                  <w:rFonts w:ascii="Arial" w:hAnsi="Arial"/>
                  <w:szCs w:val="20"/>
                </w:rPr>
                <w:t>https://nhsd-confluence.digital.nhs.uk/spaces/CLP/pages/1208353679/NIR+-+Hazard+Assessment+Workshop+2+10+10+2025</w:t>
              </w:r>
            </w:hyperlink>
          </w:p>
        </w:tc>
        <w:tc>
          <w:tcPr>
            <w:tcW w:w="719" w:type="pct"/>
            <w:tcBorders>
              <w:left w:val="single" w:sz="2" w:space="0" w:color="B9B9B9"/>
            </w:tcBorders>
            <w:tcMar>
              <w:left w:w="28" w:type="dxa"/>
              <w:right w:w="28" w:type="dxa"/>
            </w:tcMar>
          </w:tcPr>
          <w:p w14:paraId="5D183ECA" w14:textId="6F54368D" w:rsidR="00CB7118" w:rsidRDefault="00154A54"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23435FFA" w14:textId="77777777" w:rsidTr="00291F11">
        <w:trPr>
          <w:cantSplit/>
          <w:trHeight w:val="290"/>
        </w:trPr>
        <w:tc>
          <w:tcPr>
            <w:tcW w:w="295" w:type="pct"/>
            <w:tcBorders>
              <w:right w:val="single" w:sz="2" w:space="0" w:color="B9B9B9"/>
            </w:tcBorders>
          </w:tcPr>
          <w:p w14:paraId="24F3B629" w14:textId="77777777" w:rsidR="00CB7118" w:rsidRDefault="00CB7118" w:rsidP="008F3C4B">
            <w:pPr>
              <w:pStyle w:val="TableText"/>
              <w:jc w:val="center"/>
            </w:pPr>
            <w:r>
              <w:t>26</w:t>
            </w:r>
          </w:p>
        </w:tc>
        <w:tc>
          <w:tcPr>
            <w:tcW w:w="3986" w:type="pct"/>
            <w:tcBorders>
              <w:left w:val="single" w:sz="2" w:space="0" w:color="B9B9B9"/>
              <w:right w:val="single" w:sz="2" w:space="0" w:color="B9B9B9"/>
            </w:tcBorders>
          </w:tcPr>
          <w:p w14:paraId="1FD728DF" w14:textId="77777777" w:rsidR="005D095D" w:rsidRDefault="00CB7118" w:rsidP="008F3C4B">
            <w:pPr>
              <w:rPr>
                <w:rStyle w:val="Strong"/>
                <w:b w:val="0"/>
                <w:bCs w:val="0"/>
              </w:rPr>
            </w:pPr>
            <w:r w:rsidRPr="005D095D">
              <w:rPr>
                <w:rStyle w:val="Strong"/>
                <w:b w:val="0"/>
                <w:bCs w:val="0"/>
              </w:rPr>
              <w:t>Change and Release Safety Assessments</w:t>
            </w:r>
            <w:r w:rsidR="005D095D" w:rsidRPr="005D095D">
              <w:rPr>
                <w:rStyle w:val="Strong"/>
                <w:b w:val="0"/>
                <w:bCs w:val="0"/>
              </w:rPr>
              <w:t xml:space="preserve"> – Derived from</w:t>
            </w:r>
            <w:r w:rsidR="005D095D">
              <w:rPr>
                <w:rStyle w:val="Strong"/>
                <w:b w:val="0"/>
                <w:bCs w:val="0"/>
              </w:rPr>
              <w:t>:</w:t>
            </w:r>
          </w:p>
          <w:p w14:paraId="786AC44B" w14:textId="3BEE3583" w:rsidR="00CC7568" w:rsidRPr="005D095D" w:rsidRDefault="005D095D" w:rsidP="00CC7568">
            <w:pPr>
              <w:rPr>
                <w:b/>
                <w:bCs/>
                <w:szCs w:val="20"/>
              </w:rPr>
            </w:pPr>
            <w:r w:rsidRPr="005D095D">
              <w:rPr>
                <w:rStyle w:val="Strong"/>
                <w:b w:val="0"/>
                <w:bCs w:val="0"/>
              </w:rPr>
              <w:t xml:space="preserve"> </w:t>
            </w:r>
            <w:hyperlink r:id="rId32" w:history="1">
              <w:r w:rsidR="00CC7568" w:rsidRPr="00F25A33">
                <w:rPr>
                  <w:rStyle w:val="Hyperlink"/>
                </w:rPr>
                <w:t>https://nhsd-confluence.digital.nhs.uk/spaces/CLP/pages/1195113171/Governance+R+R+Safety+Plan</w:t>
              </w:r>
            </w:hyperlink>
          </w:p>
        </w:tc>
        <w:tc>
          <w:tcPr>
            <w:tcW w:w="719" w:type="pct"/>
            <w:tcBorders>
              <w:left w:val="single" w:sz="2" w:space="0" w:color="B9B9B9"/>
            </w:tcBorders>
            <w:tcMar>
              <w:left w:w="28" w:type="dxa"/>
              <w:right w:w="28" w:type="dxa"/>
            </w:tcMar>
          </w:tcPr>
          <w:p w14:paraId="32F95BCC" w14:textId="1C47BF71" w:rsidR="00CB7118" w:rsidRDefault="005D095D"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3C18F8A" w14:textId="77777777" w:rsidTr="00291F11">
        <w:trPr>
          <w:cantSplit/>
          <w:trHeight w:val="290"/>
        </w:trPr>
        <w:tc>
          <w:tcPr>
            <w:tcW w:w="295" w:type="pct"/>
            <w:tcBorders>
              <w:right w:val="single" w:sz="2" w:space="0" w:color="B9B9B9"/>
            </w:tcBorders>
          </w:tcPr>
          <w:p w14:paraId="6AC5BC81" w14:textId="77777777" w:rsidR="00CB7118" w:rsidRDefault="00CB7118" w:rsidP="008F3C4B">
            <w:pPr>
              <w:pStyle w:val="TableText"/>
              <w:jc w:val="center"/>
            </w:pPr>
            <w:r>
              <w:t>27</w:t>
            </w:r>
          </w:p>
        </w:tc>
        <w:tc>
          <w:tcPr>
            <w:tcW w:w="3986" w:type="pct"/>
            <w:tcBorders>
              <w:left w:val="single" w:sz="2" w:space="0" w:color="B9B9B9"/>
              <w:right w:val="single" w:sz="2" w:space="0" w:color="B9B9B9"/>
            </w:tcBorders>
          </w:tcPr>
          <w:p w14:paraId="5584B16D" w14:textId="77777777" w:rsidR="00CB7118" w:rsidRPr="00D3106F" w:rsidRDefault="00CB7118" w:rsidP="008F3C4B">
            <w:pPr>
              <w:rPr>
                <w:b/>
                <w:bCs/>
                <w:szCs w:val="20"/>
              </w:rPr>
            </w:pPr>
            <w:r w:rsidRPr="00D3106F">
              <w:rPr>
                <w:rStyle w:val="Strong"/>
                <w:b w:val="0"/>
                <w:bCs w:val="0"/>
              </w:rPr>
              <w:t>Medical Device Classification Assessment Form</w:t>
            </w:r>
          </w:p>
        </w:tc>
        <w:tc>
          <w:tcPr>
            <w:tcW w:w="719" w:type="pct"/>
            <w:tcBorders>
              <w:left w:val="single" w:sz="2" w:space="0" w:color="B9B9B9"/>
            </w:tcBorders>
            <w:tcMar>
              <w:left w:w="28" w:type="dxa"/>
              <w:right w:w="28" w:type="dxa"/>
            </w:tcMar>
          </w:tcPr>
          <w:p w14:paraId="3F3668DC" w14:textId="77777777" w:rsidR="00CB7118" w:rsidRDefault="00032DE0" w:rsidP="008F3C4B">
            <w:pPr>
              <w:pStyle w:val="TableText"/>
              <w:jc w:val="center"/>
              <w:rPr>
                <w:rFonts w:cstheme="minorHAnsi"/>
                <w:sz w:val="22"/>
                <w:szCs w:val="22"/>
              </w:rPr>
            </w:pPr>
            <w:r>
              <w:rPr>
                <w:rFonts w:asciiTheme="minorHAnsi" w:hAnsiTheme="minorHAnsi" w:cstheme="minorHAnsi"/>
                <w:sz w:val="22"/>
                <w:szCs w:val="22"/>
              </w:rPr>
              <w:t>T</w:t>
            </w:r>
            <w:r>
              <w:rPr>
                <w:rFonts w:cstheme="minorHAnsi"/>
                <w:sz w:val="22"/>
                <w:szCs w:val="22"/>
              </w:rPr>
              <w:t>BA</w:t>
            </w:r>
          </w:p>
          <w:p w14:paraId="2319D7EF" w14:textId="77777777" w:rsidR="00032DE0" w:rsidRDefault="00032DE0" w:rsidP="008F3C4B">
            <w:pPr>
              <w:pStyle w:val="TableText"/>
              <w:jc w:val="center"/>
              <w:rPr>
                <w:rFonts w:cstheme="minorHAnsi"/>
                <w:sz w:val="22"/>
                <w:szCs w:val="22"/>
              </w:rPr>
            </w:pPr>
            <w:r>
              <w:rPr>
                <w:rFonts w:cstheme="minorHAnsi"/>
                <w:sz w:val="22"/>
                <w:szCs w:val="22"/>
              </w:rPr>
              <w:t>See Section</w:t>
            </w:r>
          </w:p>
          <w:p w14:paraId="5E97771D" w14:textId="1670DCD4" w:rsidR="00032DE0" w:rsidRDefault="00351ADE" w:rsidP="008F3C4B">
            <w:pPr>
              <w:pStyle w:val="TableText"/>
              <w:jc w:val="center"/>
              <w:rPr>
                <w:rFonts w:asciiTheme="minorHAnsi" w:hAnsiTheme="minorHAnsi" w:cstheme="minorHAnsi"/>
                <w:sz w:val="22"/>
                <w:szCs w:val="22"/>
              </w:rPr>
            </w:pPr>
            <w:hyperlink w:anchor="_Medical_Device_Regulations" w:history="1">
              <w:r w:rsidRPr="00351ADE">
                <w:rPr>
                  <w:rStyle w:val="Hyperlink"/>
                  <w:rFonts w:ascii="Arial" w:hAnsi="Arial" w:cstheme="minorHAnsi"/>
                  <w:sz w:val="22"/>
                  <w:szCs w:val="22"/>
                </w:rPr>
                <w:t>Medical Device Regulations</w:t>
              </w:r>
            </w:hyperlink>
            <w:r w:rsidR="00032DE0">
              <w:rPr>
                <w:rFonts w:cstheme="minorHAnsi"/>
                <w:sz w:val="22"/>
                <w:szCs w:val="22"/>
              </w:rPr>
              <w:t xml:space="preserve"> </w:t>
            </w:r>
          </w:p>
        </w:tc>
      </w:tr>
      <w:tr w:rsidR="00CB7118" w14:paraId="47C6445D" w14:textId="77777777" w:rsidTr="00291F11">
        <w:trPr>
          <w:cantSplit/>
          <w:trHeight w:val="290"/>
        </w:trPr>
        <w:tc>
          <w:tcPr>
            <w:tcW w:w="295" w:type="pct"/>
            <w:tcBorders>
              <w:right w:val="single" w:sz="2" w:space="0" w:color="B9B9B9"/>
            </w:tcBorders>
          </w:tcPr>
          <w:p w14:paraId="63AC9293" w14:textId="77777777" w:rsidR="00CB7118" w:rsidRDefault="00CB7118" w:rsidP="008F3C4B">
            <w:pPr>
              <w:pStyle w:val="TableText"/>
              <w:jc w:val="center"/>
            </w:pPr>
            <w:r>
              <w:t>28</w:t>
            </w:r>
          </w:p>
        </w:tc>
        <w:tc>
          <w:tcPr>
            <w:tcW w:w="3986" w:type="pct"/>
            <w:tcBorders>
              <w:left w:val="single" w:sz="2" w:space="0" w:color="B9B9B9"/>
              <w:right w:val="single" w:sz="2" w:space="0" w:color="B9B9B9"/>
            </w:tcBorders>
          </w:tcPr>
          <w:p w14:paraId="3C7BFAAE" w14:textId="77777777" w:rsidR="00CB7118" w:rsidRPr="00D3106F" w:rsidRDefault="00CB7118" w:rsidP="008F3C4B">
            <w:pPr>
              <w:rPr>
                <w:b/>
                <w:bCs/>
                <w:szCs w:val="20"/>
              </w:rPr>
            </w:pPr>
            <w:r w:rsidRPr="00D3106F">
              <w:rPr>
                <w:rStyle w:val="Strong"/>
                <w:b w:val="0"/>
                <w:bCs w:val="0"/>
              </w:rPr>
              <w:t>NIR Data Protection Impact Assessment (DPIA)</w:t>
            </w:r>
          </w:p>
        </w:tc>
        <w:tc>
          <w:tcPr>
            <w:tcW w:w="719" w:type="pct"/>
            <w:tcBorders>
              <w:left w:val="single" w:sz="2" w:space="0" w:color="B9B9B9"/>
            </w:tcBorders>
            <w:tcMar>
              <w:left w:w="28" w:type="dxa"/>
              <w:right w:w="28" w:type="dxa"/>
            </w:tcMar>
          </w:tcPr>
          <w:p w14:paraId="7B4CAE43" w14:textId="50A0BBAC" w:rsidR="00CB7118" w:rsidRDefault="002D1FFD" w:rsidP="008F3C4B">
            <w:pPr>
              <w:pStyle w:val="TableText"/>
              <w:jc w:val="center"/>
              <w:rPr>
                <w:rFonts w:asciiTheme="minorHAnsi" w:hAnsiTheme="minorHAnsi" w:cstheme="minorHAnsi"/>
                <w:sz w:val="22"/>
                <w:szCs w:val="22"/>
              </w:rPr>
            </w:pPr>
            <w:r w:rsidRPr="002D1FFD">
              <w:rPr>
                <w:rFonts w:asciiTheme="minorHAnsi" w:hAnsiTheme="minorHAnsi" w:cstheme="minorHAnsi"/>
                <w:sz w:val="22"/>
                <w:szCs w:val="22"/>
              </w:rPr>
              <w:t>Version 0.5 (8 August 2025)</w:t>
            </w:r>
          </w:p>
        </w:tc>
      </w:tr>
      <w:tr w:rsidR="00CB7118" w14:paraId="0A66CCA9" w14:textId="77777777" w:rsidTr="00291F11">
        <w:trPr>
          <w:cantSplit/>
          <w:trHeight w:val="290"/>
        </w:trPr>
        <w:tc>
          <w:tcPr>
            <w:tcW w:w="295" w:type="pct"/>
            <w:tcBorders>
              <w:right w:val="single" w:sz="2" w:space="0" w:color="B9B9B9"/>
            </w:tcBorders>
          </w:tcPr>
          <w:p w14:paraId="1C397FBA" w14:textId="77777777" w:rsidR="00CB7118" w:rsidRPr="00621909" w:rsidRDefault="00CB7118" w:rsidP="008F3C4B">
            <w:pPr>
              <w:pStyle w:val="TableText"/>
              <w:jc w:val="center"/>
            </w:pPr>
            <w:r w:rsidRPr="00621909">
              <w:t>29</w:t>
            </w:r>
          </w:p>
        </w:tc>
        <w:tc>
          <w:tcPr>
            <w:tcW w:w="3986" w:type="pct"/>
            <w:tcBorders>
              <w:left w:val="single" w:sz="2" w:space="0" w:color="B9B9B9"/>
              <w:right w:val="single" w:sz="2" w:space="0" w:color="B9B9B9"/>
            </w:tcBorders>
          </w:tcPr>
          <w:p w14:paraId="1AC074A9" w14:textId="77777777" w:rsidR="00CB7118" w:rsidRPr="00621909" w:rsidRDefault="00CB7118" w:rsidP="008F3C4B">
            <w:pPr>
              <w:rPr>
                <w:rStyle w:val="Strong"/>
                <w:b w:val="0"/>
                <w:bCs w:val="0"/>
              </w:rPr>
            </w:pPr>
            <w:r w:rsidRPr="00621909">
              <w:rPr>
                <w:rStyle w:val="Strong"/>
                <w:b w:val="0"/>
                <w:bCs w:val="0"/>
              </w:rPr>
              <w:t>NIR Reporting and Governance Dashboard</w:t>
            </w:r>
          </w:p>
          <w:p w14:paraId="5ACAE470" w14:textId="3C236A8A" w:rsidR="00621909" w:rsidRPr="00621909" w:rsidRDefault="00621909" w:rsidP="00621909">
            <w:pPr>
              <w:rPr>
                <w:szCs w:val="20"/>
              </w:rPr>
            </w:pPr>
            <w:hyperlink r:id="rId33" w:history="1">
              <w:r w:rsidRPr="00621909">
                <w:rPr>
                  <w:rStyle w:val="Hyperlink"/>
                  <w:rFonts w:ascii="Arial" w:hAnsi="Arial"/>
                  <w:szCs w:val="20"/>
                </w:rPr>
                <w:t>https://nhsd-confluence.digital.nhs.uk/spaces/CLP/pages/1149081087/NIR+Reporting+Management+Dashboard%C2%A0-+Requirements+Specification</w:t>
              </w:r>
            </w:hyperlink>
          </w:p>
        </w:tc>
        <w:tc>
          <w:tcPr>
            <w:tcW w:w="719" w:type="pct"/>
            <w:tcBorders>
              <w:left w:val="single" w:sz="2" w:space="0" w:color="B9B9B9"/>
            </w:tcBorders>
            <w:tcMar>
              <w:left w:w="28" w:type="dxa"/>
              <w:right w:w="28" w:type="dxa"/>
            </w:tcMar>
          </w:tcPr>
          <w:p w14:paraId="34AA7567" w14:textId="35BAF298" w:rsidR="00CB7118" w:rsidRDefault="00621909"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42B2091D" w14:textId="77777777" w:rsidTr="00291F11">
        <w:trPr>
          <w:cantSplit/>
          <w:trHeight w:val="290"/>
        </w:trPr>
        <w:tc>
          <w:tcPr>
            <w:tcW w:w="295" w:type="pct"/>
            <w:tcBorders>
              <w:right w:val="single" w:sz="2" w:space="0" w:color="B9B9B9"/>
            </w:tcBorders>
          </w:tcPr>
          <w:p w14:paraId="24C61383" w14:textId="77777777" w:rsidR="00CB7118" w:rsidRDefault="00CB7118" w:rsidP="008F3C4B">
            <w:pPr>
              <w:pStyle w:val="TableText"/>
              <w:jc w:val="center"/>
            </w:pPr>
            <w:r>
              <w:t>30</w:t>
            </w:r>
          </w:p>
        </w:tc>
        <w:tc>
          <w:tcPr>
            <w:tcW w:w="3986" w:type="pct"/>
            <w:tcBorders>
              <w:left w:val="single" w:sz="2" w:space="0" w:color="B9B9B9"/>
              <w:right w:val="single" w:sz="2" w:space="0" w:color="B9B9B9"/>
            </w:tcBorders>
          </w:tcPr>
          <w:p w14:paraId="249465D0" w14:textId="77777777" w:rsidR="00CB7118" w:rsidRDefault="00CB7118" w:rsidP="008F3C4B">
            <w:pPr>
              <w:rPr>
                <w:rStyle w:val="Strong"/>
                <w:b w:val="0"/>
                <w:bCs w:val="0"/>
              </w:rPr>
            </w:pPr>
            <w:r w:rsidRPr="00D3106F">
              <w:rPr>
                <w:rStyle w:val="Strong"/>
                <w:b w:val="0"/>
                <w:bCs w:val="0"/>
              </w:rPr>
              <w:t>NIR Security Architecture and Controls Framework</w:t>
            </w:r>
          </w:p>
          <w:p w14:paraId="0E22C562" w14:textId="34C9F557" w:rsidR="004413FC" w:rsidRPr="004413FC" w:rsidRDefault="004413FC" w:rsidP="004413FC">
            <w:pPr>
              <w:rPr>
                <w:szCs w:val="20"/>
              </w:rPr>
            </w:pPr>
            <w:hyperlink r:id="rId34" w:history="1">
              <w:r w:rsidRPr="004413FC">
                <w:rPr>
                  <w:rStyle w:val="Hyperlink"/>
                  <w:rFonts w:ascii="Arial" w:hAnsi="Arial"/>
                  <w:szCs w:val="20"/>
                </w:rPr>
                <w:t>https://nhsd-confluence.digital.nhs.uk/spaces/CLP/pages/1121401325/NIR+Security+and+Compliance+Strategy</w:t>
              </w:r>
            </w:hyperlink>
          </w:p>
        </w:tc>
        <w:tc>
          <w:tcPr>
            <w:tcW w:w="719" w:type="pct"/>
            <w:tcBorders>
              <w:left w:val="single" w:sz="2" w:space="0" w:color="B9B9B9"/>
            </w:tcBorders>
            <w:tcMar>
              <w:left w:w="28" w:type="dxa"/>
              <w:right w:w="28" w:type="dxa"/>
            </w:tcMar>
          </w:tcPr>
          <w:p w14:paraId="66FAE863" w14:textId="09BF5973" w:rsidR="00CB7118" w:rsidRDefault="008E114E"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bl>
    <w:p w14:paraId="0679693E" w14:textId="43146DA2" w:rsidR="00DD79C4" w:rsidRDefault="00DD79C4" w:rsidP="00E852C1">
      <w:pPr>
        <w:tabs>
          <w:tab w:val="left" w:pos="4111"/>
        </w:tabs>
      </w:pPr>
      <w:r>
        <w:br w:type="page"/>
      </w:r>
    </w:p>
    <w:p w14:paraId="5153000A" w14:textId="23DD93BC" w:rsidR="008573B8" w:rsidRPr="00BD7FB4" w:rsidRDefault="008573B8" w:rsidP="008573B8">
      <w:pPr>
        <w:pBdr>
          <w:top w:val="nil"/>
          <w:left w:val="nil"/>
          <w:bottom w:val="nil"/>
          <w:right w:val="nil"/>
          <w:between w:val="nil"/>
        </w:pBdr>
        <w:spacing w:after="0"/>
        <w:rPr>
          <w:rFonts w:ascii="Quattrocento Sans" w:eastAsia="Quattrocento Sans" w:hAnsi="Quattrocento Sans" w:cs="Quattrocento Sans"/>
          <w:b/>
          <w:color w:val="005EB8"/>
          <w:sz w:val="18"/>
          <w:szCs w:val="18"/>
        </w:rPr>
      </w:pPr>
      <w:r w:rsidRPr="00BD7FB4">
        <w:rPr>
          <w:b/>
          <w:color w:val="005EB8"/>
          <w:sz w:val="40"/>
          <w:szCs w:val="40"/>
        </w:rPr>
        <w:lastRenderedPageBreak/>
        <w:t>Glossary of Terms  </w:t>
      </w:r>
    </w:p>
    <w:p w14:paraId="78355918" w14:textId="77777777" w:rsidR="008573B8" w:rsidRPr="00BD7FB4" w:rsidRDefault="008573B8" w:rsidP="008573B8">
      <w:pPr>
        <w:spacing w:after="0"/>
      </w:pPr>
    </w:p>
    <w:tbl>
      <w:tblPr>
        <w:tblW w:w="9825"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1935"/>
        <w:gridCol w:w="7890"/>
      </w:tblGrid>
      <w:tr w:rsidR="008573B8" w:rsidRPr="00BD7FB4" w14:paraId="375ED1D2" w14:textId="77777777">
        <w:tc>
          <w:tcPr>
            <w:tcW w:w="1935" w:type="dxa"/>
            <w:tcBorders>
              <w:top w:val="single" w:sz="6" w:space="0" w:color="000000"/>
              <w:left w:val="single" w:sz="6" w:space="0" w:color="000000"/>
              <w:bottom w:val="single" w:sz="6" w:space="0" w:color="000000"/>
              <w:right w:val="single" w:sz="6" w:space="0" w:color="000000"/>
            </w:tcBorders>
          </w:tcPr>
          <w:p w14:paraId="31A7E947" w14:textId="77777777" w:rsidR="008573B8" w:rsidRPr="0099282C" w:rsidRDefault="008573B8">
            <w:pPr>
              <w:rPr>
                <w:color w:val="000000"/>
                <w:sz w:val="22"/>
                <w:szCs w:val="22"/>
              </w:rPr>
            </w:pPr>
            <w:bookmarkStart w:id="7" w:name="_heading=h.tyjcwt" w:colFirst="0" w:colLast="0"/>
            <w:bookmarkEnd w:id="7"/>
            <w:r w:rsidRPr="0099282C">
              <w:rPr>
                <w:sz w:val="22"/>
                <w:szCs w:val="22"/>
              </w:rPr>
              <w:t>AFAP</w:t>
            </w:r>
          </w:p>
        </w:tc>
        <w:tc>
          <w:tcPr>
            <w:tcW w:w="7890" w:type="dxa"/>
            <w:tcBorders>
              <w:top w:val="single" w:sz="6" w:space="0" w:color="000000"/>
              <w:left w:val="single" w:sz="6" w:space="0" w:color="000000"/>
              <w:bottom w:val="single" w:sz="6" w:space="0" w:color="000000"/>
              <w:right w:val="single" w:sz="6" w:space="0" w:color="000000"/>
            </w:tcBorders>
          </w:tcPr>
          <w:p w14:paraId="11AD1081" w14:textId="77777777" w:rsidR="008573B8" w:rsidRPr="0099282C" w:rsidRDefault="008573B8">
            <w:pPr>
              <w:rPr>
                <w:color w:val="000000"/>
                <w:sz w:val="22"/>
                <w:szCs w:val="22"/>
              </w:rPr>
            </w:pPr>
            <w:r w:rsidRPr="0099282C">
              <w:rPr>
                <w:sz w:val="22"/>
                <w:szCs w:val="22"/>
              </w:rPr>
              <w:t>As Far As Possible – The level risk acceptability criteria as per clinical safety standards</w:t>
            </w:r>
          </w:p>
        </w:tc>
      </w:tr>
      <w:tr w:rsidR="008573B8" w:rsidRPr="00BD7FB4" w14:paraId="48D12BA9" w14:textId="77777777">
        <w:tc>
          <w:tcPr>
            <w:tcW w:w="1935" w:type="dxa"/>
            <w:tcBorders>
              <w:top w:val="single" w:sz="6" w:space="0" w:color="000000"/>
              <w:left w:val="single" w:sz="6" w:space="0" w:color="000000"/>
              <w:bottom w:val="single" w:sz="6" w:space="0" w:color="000000"/>
              <w:right w:val="single" w:sz="6" w:space="0" w:color="000000"/>
            </w:tcBorders>
          </w:tcPr>
          <w:p w14:paraId="4BA43E8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w:t>
            </w:r>
          </w:p>
        </w:tc>
        <w:tc>
          <w:tcPr>
            <w:tcW w:w="7890" w:type="dxa"/>
            <w:tcBorders>
              <w:top w:val="single" w:sz="6" w:space="0" w:color="000000"/>
              <w:left w:val="single" w:sz="6" w:space="0" w:color="000000"/>
              <w:bottom w:val="single" w:sz="6" w:space="0" w:color="000000"/>
              <w:right w:val="single" w:sz="6" w:space="0" w:color="000000"/>
            </w:tcBorders>
          </w:tcPr>
          <w:p w14:paraId="76FFA7B1"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Combination of the severity (consequence) and likelihood (probability) of harm to a patient and the likelihood of occurrence of that harm. </w:t>
            </w:r>
          </w:p>
        </w:tc>
      </w:tr>
      <w:tr w:rsidR="008573B8" w:rsidRPr="00BD7FB4" w14:paraId="7748F531" w14:textId="77777777">
        <w:tc>
          <w:tcPr>
            <w:tcW w:w="1935" w:type="dxa"/>
            <w:tcBorders>
              <w:top w:val="single" w:sz="6" w:space="0" w:color="000000"/>
              <w:left w:val="single" w:sz="6" w:space="0" w:color="000000"/>
              <w:bottom w:val="single" w:sz="6" w:space="0" w:color="000000"/>
              <w:right w:val="single" w:sz="6" w:space="0" w:color="000000"/>
            </w:tcBorders>
          </w:tcPr>
          <w:p w14:paraId="1B84BD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Analysis   </w:t>
            </w:r>
          </w:p>
        </w:tc>
        <w:tc>
          <w:tcPr>
            <w:tcW w:w="7890" w:type="dxa"/>
            <w:tcBorders>
              <w:top w:val="single" w:sz="6" w:space="0" w:color="000000"/>
              <w:left w:val="single" w:sz="6" w:space="0" w:color="000000"/>
              <w:bottom w:val="single" w:sz="6" w:space="0" w:color="000000"/>
              <w:right w:val="single" w:sz="6" w:space="0" w:color="000000"/>
            </w:tcBorders>
          </w:tcPr>
          <w:p w14:paraId="4E6E448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use of available information to identify and estimate a clinical risk. </w:t>
            </w:r>
          </w:p>
        </w:tc>
      </w:tr>
      <w:tr w:rsidR="008573B8" w:rsidRPr="00BD7FB4" w14:paraId="0C982472" w14:textId="77777777">
        <w:tc>
          <w:tcPr>
            <w:tcW w:w="1935" w:type="dxa"/>
            <w:tcBorders>
              <w:top w:val="single" w:sz="6" w:space="0" w:color="000000"/>
              <w:left w:val="single" w:sz="6" w:space="0" w:color="000000"/>
              <w:bottom w:val="single" w:sz="6" w:space="0" w:color="000000"/>
              <w:right w:val="single" w:sz="6" w:space="0" w:color="000000"/>
            </w:tcBorders>
          </w:tcPr>
          <w:p w14:paraId="44F3516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Control </w:t>
            </w:r>
          </w:p>
        </w:tc>
        <w:tc>
          <w:tcPr>
            <w:tcW w:w="7890" w:type="dxa"/>
            <w:tcBorders>
              <w:top w:val="single" w:sz="6" w:space="0" w:color="000000"/>
              <w:left w:val="single" w:sz="6" w:space="0" w:color="000000"/>
              <w:bottom w:val="single" w:sz="6" w:space="0" w:color="000000"/>
              <w:right w:val="single" w:sz="6" w:space="0" w:color="000000"/>
            </w:tcBorders>
          </w:tcPr>
          <w:p w14:paraId="4587FA3F" w14:textId="2C8E1BA8"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Process in which decisions are made and measures implemented by which clinical risks are reduced </w:t>
            </w:r>
            <w:r w:rsidR="001F3DCD" w:rsidRPr="0099282C">
              <w:rPr>
                <w:color w:val="000000"/>
                <w:sz w:val="22"/>
                <w:szCs w:val="22"/>
              </w:rPr>
              <w:t>to or</w:t>
            </w:r>
            <w:r w:rsidRPr="0099282C">
              <w:rPr>
                <w:color w:val="000000"/>
                <w:sz w:val="22"/>
                <w:szCs w:val="22"/>
              </w:rPr>
              <w:t xml:space="preserve"> maintained within, specified levels. </w:t>
            </w:r>
          </w:p>
        </w:tc>
      </w:tr>
      <w:tr w:rsidR="008573B8" w:rsidRPr="00BD7FB4" w14:paraId="2499601F" w14:textId="77777777">
        <w:tc>
          <w:tcPr>
            <w:tcW w:w="1935" w:type="dxa"/>
            <w:tcBorders>
              <w:top w:val="single" w:sz="6" w:space="0" w:color="000000"/>
              <w:left w:val="single" w:sz="6" w:space="0" w:color="000000"/>
              <w:bottom w:val="single" w:sz="6" w:space="0" w:color="000000"/>
              <w:right w:val="single" w:sz="6" w:space="0" w:color="000000"/>
            </w:tcBorders>
          </w:tcPr>
          <w:p w14:paraId="43BAEF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Estimation </w:t>
            </w:r>
          </w:p>
        </w:tc>
        <w:tc>
          <w:tcPr>
            <w:tcW w:w="7890" w:type="dxa"/>
            <w:tcBorders>
              <w:top w:val="single" w:sz="6" w:space="0" w:color="000000"/>
              <w:left w:val="single" w:sz="6" w:space="0" w:color="000000"/>
              <w:bottom w:val="single" w:sz="6" w:space="0" w:color="000000"/>
              <w:right w:val="single" w:sz="6" w:space="0" w:color="000000"/>
            </w:tcBorders>
          </w:tcPr>
          <w:p w14:paraId="759307A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used to assign values to the severity (consequence) of harm to a patient and the likelihood (probability) of occurrence of that harm. </w:t>
            </w:r>
          </w:p>
        </w:tc>
      </w:tr>
      <w:tr w:rsidR="008573B8" w:rsidRPr="00BD7FB4" w14:paraId="1646B036" w14:textId="77777777">
        <w:tc>
          <w:tcPr>
            <w:tcW w:w="1935" w:type="dxa"/>
            <w:tcBorders>
              <w:top w:val="single" w:sz="6" w:space="0" w:color="000000"/>
              <w:left w:val="single" w:sz="6" w:space="0" w:color="000000"/>
              <w:bottom w:val="single" w:sz="6" w:space="0" w:color="000000"/>
              <w:right w:val="single" w:sz="6" w:space="0" w:color="000000"/>
            </w:tcBorders>
          </w:tcPr>
          <w:p w14:paraId="2B093FA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Evaluation </w:t>
            </w:r>
          </w:p>
        </w:tc>
        <w:tc>
          <w:tcPr>
            <w:tcW w:w="7890" w:type="dxa"/>
            <w:tcBorders>
              <w:top w:val="single" w:sz="6" w:space="0" w:color="000000"/>
              <w:left w:val="single" w:sz="6" w:space="0" w:color="000000"/>
              <w:bottom w:val="single" w:sz="6" w:space="0" w:color="000000"/>
              <w:right w:val="single" w:sz="6" w:space="0" w:color="000000"/>
            </w:tcBorders>
          </w:tcPr>
          <w:p w14:paraId="1CDAF07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of comparing a clinical risk against given risk criteria to determine the acceptability of the clinical risk. </w:t>
            </w:r>
          </w:p>
        </w:tc>
      </w:tr>
      <w:tr w:rsidR="008573B8" w:rsidRPr="00BD7FB4" w14:paraId="0CC65360" w14:textId="77777777">
        <w:tc>
          <w:tcPr>
            <w:tcW w:w="1935" w:type="dxa"/>
            <w:tcBorders>
              <w:top w:val="single" w:sz="6" w:space="0" w:color="000000"/>
              <w:left w:val="single" w:sz="6" w:space="0" w:color="000000"/>
              <w:bottom w:val="single" w:sz="6" w:space="0" w:color="000000"/>
              <w:right w:val="single" w:sz="6" w:space="0" w:color="000000"/>
            </w:tcBorders>
          </w:tcPr>
          <w:p w14:paraId="30E2D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w:t>
            </w:r>
          </w:p>
        </w:tc>
        <w:tc>
          <w:tcPr>
            <w:tcW w:w="7890" w:type="dxa"/>
            <w:tcBorders>
              <w:top w:val="single" w:sz="6" w:space="0" w:color="000000"/>
              <w:left w:val="single" w:sz="6" w:space="0" w:color="000000"/>
              <w:bottom w:val="single" w:sz="6" w:space="0" w:color="000000"/>
              <w:right w:val="single" w:sz="6" w:space="0" w:color="000000"/>
            </w:tcBorders>
          </w:tcPr>
          <w:p w14:paraId="089D1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application of management policies, procedures, and practices to the tasks of analysing, evaluating, and controlling clinical risk. </w:t>
            </w:r>
          </w:p>
        </w:tc>
      </w:tr>
      <w:tr w:rsidR="008573B8" w:rsidRPr="00BD7FB4" w14:paraId="24CE80B1" w14:textId="77777777">
        <w:tc>
          <w:tcPr>
            <w:tcW w:w="1935" w:type="dxa"/>
            <w:tcBorders>
              <w:top w:val="single" w:sz="6" w:space="0" w:color="000000"/>
              <w:left w:val="single" w:sz="6" w:space="0" w:color="000000"/>
              <w:bottom w:val="single" w:sz="6" w:space="0" w:color="000000"/>
              <w:right w:val="single" w:sz="6" w:space="0" w:color="000000"/>
            </w:tcBorders>
          </w:tcPr>
          <w:p w14:paraId="2F7930EA"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Process  </w:t>
            </w:r>
          </w:p>
        </w:tc>
        <w:tc>
          <w:tcPr>
            <w:tcW w:w="7890" w:type="dxa"/>
            <w:tcBorders>
              <w:top w:val="single" w:sz="6" w:space="0" w:color="000000"/>
              <w:left w:val="single" w:sz="6" w:space="0" w:color="000000"/>
              <w:bottom w:val="single" w:sz="6" w:space="0" w:color="000000"/>
              <w:right w:val="single" w:sz="6" w:space="0" w:color="000000"/>
            </w:tcBorders>
          </w:tcPr>
          <w:p w14:paraId="57564CD6" w14:textId="4FE940D5"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set of interrelated or interacting activities, defined</w:t>
            </w:r>
            <w:r w:rsidR="001B582E" w:rsidRPr="0099282C">
              <w:rPr>
                <w:color w:val="000000"/>
                <w:sz w:val="22"/>
                <w:szCs w:val="22"/>
              </w:rPr>
              <w:t xml:space="preserve"> by</w:t>
            </w:r>
            <w:r w:rsidRPr="0099282C">
              <w:rPr>
                <w:color w:val="000000"/>
                <w:sz w:val="22"/>
                <w:szCs w:val="22"/>
              </w:rPr>
              <w:t xml:space="preserve"> </w:t>
            </w:r>
            <w:r w:rsidR="008C1248">
              <w:rPr>
                <w:color w:val="000000"/>
                <w:sz w:val="22"/>
                <w:szCs w:val="22"/>
              </w:rPr>
              <w:t>N</w:t>
            </w:r>
            <w:r w:rsidR="007A427E">
              <w:rPr>
                <w:color w:val="000000"/>
                <w:sz w:val="22"/>
                <w:szCs w:val="22"/>
              </w:rPr>
              <w:t>HS</w:t>
            </w:r>
            <w:r w:rsidR="008C1248">
              <w:rPr>
                <w:color w:val="000000"/>
                <w:sz w:val="22"/>
                <w:szCs w:val="22"/>
              </w:rPr>
              <w:t xml:space="preserve"> </w:t>
            </w:r>
            <w:r w:rsidR="007A427E">
              <w:rPr>
                <w:color w:val="000000"/>
                <w:sz w:val="22"/>
                <w:szCs w:val="22"/>
              </w:rPr>
              <w:t>England</w:t>
            </w:r>
            <w:r w:rsidRPr="0099282C">
              <w:rPr>
                <w:color w:val="000000"/>
                <w:sz w:val="22"/>
                <w:szCs w:val="22"/>
              </w:rPr>
              <w:t xml:space="preserve"> to meet the requirements of this standard with the objective of ensuring clinical safety in respect to the development, deployment and use of </w:t>
            </w:r>
            <w:r w:rsidR="007A427E">
              <w:rPr>
                <w:color w:val="000000"/>
                <w:sz w:val="22"/>
                <w:szCs w:val="22"/>
              </w:rPr>
              <w:t>NIR</w:t>
            </w:r>
            <w:r w:rsidRPr="0099282C">
              <w:rPr>
                <w:color w:val="000000"/>
                <w:sz w:val="22"/>
                <w:szCs w:val="22"/>
              </w:rPr>
              <w:t>. </w:t>
            </w:r>
          </w:p>
        </w:tc>
      </w:tr>
      <w:tr w:rsidR="008573B8" w:rsidRPr="00BD7FB4" w14:paraId="748476DA" w14:textId="77777777">
        <w:tc>
          <w:tcPr>
            <w:tcW w:w="1935" w:type="dxa"/>
            <w:tcBorders>
              <w:top w:val="single" w:sz="6" w:space="0" w:color="000000"/>
              <w:left w:val="single" w:sz="6" w:space="0" w:color="000000"/>
              <w:bottom w:val="single" w:sz="6" w:space="0" w:color="000000"/>
              <w:right w:val="single" w:sz="6" w:space="0" w:color="000000"/>
            </w:tcBorders>
          </w:tcPr>
          <w:p w14:paraId="212BBC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w:t>
            </w:r>
          </w:p>
        </w:tc>
        <w:tc>
          <w:tcPr>
            <w:tcW w:w="7890" w:type="dxa"/>
            <w:tcBorders>
              <w:top w:val="single" w:sz="6" w:space="0" w:color="000000"/>
              <w:left w:val="single" w:sz="6" w:space="0" w:color="000000"/>
              <w:bottom w:val="single" w:sz="6" w:space="0" w:color="000000"/>
              <w:right w:val="single" w:sz="6" w:space="0" w:color="000000"/>
            </w:tcBorders>
          </w:tcPr>
          <w:p w14:paraId="25F2F3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unacceptable clinical risk to patients. </w:t>
            </w:r>
          </w:p>
        </w:tc>
      </w:tr>
      <w:tr w:rsidR="008573B8" w:rsidRPr="00BD7FB4" w14:paraId="031E2776" w14:textId="77777777">
        <w:tc>
          <w:tcPr>
            <w:tcW w:w="1935" w:type="dxa"/>
            <w:tcBorders>
              <w:top w:val="single" w:sz="6" w:space="0" w:color="000000"/>
              <w:left w:val="single" w:sz="6" w:space="0" w:color="000000"/>
              <w:bottom w:val="single" w:sz="6" w:space="0" w:color="000000"/>
              <w:right w:val="single" w:sz="6" w:space="0" w:color="000000"/>
            </w:tcBorders>
          </w:tcPr>
          <w:p w14:paraId="18D08C6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Officer </w:t>
            </w:r>
          </w:p>
        </w:tc>
        <w:tc>
          <w:tcPr>
            <w:tcW w:w="7890" w:type="dxa"/>
            <w:tcBorders>
              <w:top w:val="single" w:sz="6" w:space="0" w:color="000000"/>
              <w:left w:val="single" w:sz="6" w:space="0" w:color="000000"/>
              <w:bottom w:val="single" w:sz="6" w:space="0" w:color="000000"/>
              <w:right w:val="single" w:sz="6" w:space="0" w:color="000000"/>
            </w:tcBorders>
          </w:tcPr>
          <w:p w14:paraId="13A6DAA2" w14:textId="01244FBC"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NHS Digital accredited clinician </w:t>
            </w:r>
            <w:r w:rsidR="00195167">
              <w:rPr>
                <w:color w:val="000000"/>
                <w:sz w:val="22"/>
                <w:szCs w:val="22"/>
              </w:rPr>
              <w:t>(</w:t>
            </w:r>
            <w:r w:rsidRPr="0099282C">
              <w:rPr>
                <w:color w:val="000000"/>
                <w:sz w:val="22"/>
                <w:szCs w:val="22"/>
              </w:rPr>
              <w:t xml:space="preserve">contracting to </w:t>
            </w:r>
            <w:r w:rsidR="002E6DC8">
              <w:rPr>
                <w:color w:val="000000"/>
                <w:sz w:val="22"/>
                <w:szCs w:val="22"/>
              </w:rPr>
              <w:t>NHS England</w:t>
            </w:r>
            <w:r w:rsidR="00195167">
              <w:rPr>
                <w:color w:val="000000"/>
                <w:sz w:val="22"/>
                <w:szCs w:val="22"/>
              </w:rPr>
              <w:t>)</w:t>
            </w:r>
            <w:r w:rsidRPr="0099282C">
              <w:rPr>
                <w:color w:val="000000"/>
                <w:sz w:val="22"/>
                <w:szCs w:val="22"/>
              </w:rPr>
              <w:t xml:space="preserve">, responsible for ensuring the safety of </w:t>
            </w:r>
            <w:r w:rsidR="007A427E">
              <w:rPr>
                <w:color w:val="000000"/>
                <w:sz w:val="22"/>
                <w:szCs w:val="22"/>
              </w:rPr>
              <w:t xml:space="preserve">NIR </w:t>
            </w:r>
            <w:r w:rsidRPr="0099282C">
              <w:rPr>
                <w:color w:val="000000"/>
                <w:sz w:val="22"/>
                <w:szCs w:val="22"/>
              </w:rPr>
              <w:t>through the application of clinical risk management as set-out in the NHS Digital DCB 0129 Standard requirements. </w:t>
            </w:r>
          </w:p>
        </w:tc>
      </w:tr>
      <w:tr w:rsidR="008573B8" w:rsidRPr="00BD7FB4" w14:paraId="1B417311" w14:textId="77777777">
        <w:tc>
          <w:tcPr>
            <w:tcW w:w="1935" w:type="dxa"/>
            <w:tcBorders>
              <w:top w:val="single" w:sz="6" w:space="0" w:color="000000"/>
              <w:left w:val="single" w:sz="6" w:space="0" w:color="000000"/>
              <w:bottom w:val="single" w:sz="6" w:space="0" w:color="000000"/>
              <w:right w:val="single" w:sz="6" w:space="0" w:color="000000"/>
            </w:tcBorders>
          </w:tcPr>
          <w:p w14:paraId="36DC8C9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Case Report (CSCR) </w:t>
            </w:r>
          </w:p>
        </w:tc>
        <w:tc>
          <w:tcPr>
            <w:tcW w:w="7890" w:type="dxa"/>
            <w:tcBorders>
              <w:top w:val="single" w:sz="6" w:space="0" w:color="000000"/>
              <w:left w:val="single" w:sz="6" w:space="0" w:color="000000"/>
              <w:bottom w:val="single" w:sz="6" w:space="0" w:color="000000"/>
              <w:right w:val="single" w:sz="6" w:space="0" w:color="000000"/>
            </w:tcBorders>
          </w:tcPr>
          <w:p w14:paraId="460A7BF0" w14:textId="6907066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report that presents the arguments and supporting evidence that provides a compelling, comprehensible, and valid case that a s</w:t>
            </w:r>
            <w:r w:rsidR="00DF18B8" w:rsidRPr="0099282C">
              <w:rPr>
                <w:color w:val="000000"/>
                <w:sz w:val="22"/>
                <w:szCs w:val="22"/>
              </w:rPr>
              <w:t>olution</w:t>
            </w:r>
            <w:r w:rsidRPr="0099282C">
              <w:rPr>
                <w:color w:val="000000"/>
                <w:sz w:val="22"/>
                <w:szCs w:val="22"/>
              </w:rPr>
              <w:t xml:space="preserve"> is safe for a given application in each environment. </w:t>
            </w:r>
          </w:p>
        </w:tc>
      </w:tr>
      <w:tr w:rsidR="008573B8" w:rsidRPr="00BD7FB4" w14:paraId="29AD00A9" w14:textId="77777777">
        <w:tc>
          <w:tcPr>
            <w:tcW w:w="1935" w:type="dxa"/>
            <w:tcBorders>
              <w:top w:val="single" w:sz="6" w:space="0" w:color="000000"/>
              <w:left w:val="single" w:sz="6" w:space="0" w:color="000000"/>
              <w:bottom w:val="single" w:sz="6" w:space="0" w:color="000000"/>
              <w:right w:val="single" w:sz="6" w:space="0" w:color="000000"/>
            </w:tcBorders>
          </w:tcPr>
          <w:p w14:paraId="38E8149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ETHOS Ltd. </w:t>
            </w:r>
          </w:p>
        </w:tc>
        <w:tc>
          <w:tcPr>
            <w:tcW w:w="7890" w:type="dxa"/>
            <w:tcBorders>
              <w:top w:val="single" w:sz="6" w:space="0" w:color="000000"/>
              <w:left w:val="single" w:sz="6" w:space="0" w:color="000000"/>
              <w:bottom w:val="single" w:sz="6" w:space="0" w:color="000000"/>
              <w:right w:val="single" w:sz="6" w:space="0" w:color="000000"/>
            </w:tcBorders>
          </w:tcPr>
          <w:p w14:paraId="3A6AAE49" w14:textId="1F35F749"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Health IT subject Matter Experts (Clinical Safety Engineers and Clinical Safety Officers) contracting to</w:t>
            </w:r>
            <w:r w:rsidR="001B582E" w:rsidRPr="0099282C">
              <w:rPr>
                <w:color w:val="000000"/>
                <w:sz w:val="22"/>
                <w:szCs w:val="22"/>
              </w:rPr>
              <w:t xml:space="preserve"> </w:t>
            </w:r>
            <w:r w:rsidR="00195167">
              <w:rPr>
                <w:color w:val="000000"/>
                <w:sz w:val="22"/>
                <w:szCs w:val="22"/>
              </w:rPr>
              <w:t>NHS England</w:t>
            </w:r>
            <w:r w:rsidRPr="0099282C">
              <w:rPr>
                <w:color w:val="000000"/>
                <w:sz w:val="22"/>
                <w:szCs w:val="22"/>
              </w:rPr>
              <w:t xml:space="preserve"> providing Health IT Clinical Safety assurance in respect of </w:t>
            </w:r>
            <w:r w:rsidR="007A427E">
              <w:rPr>
                <w:color w:val="000000"/>
                <w:sz w:val="22"/>
                <w:szCs w:val="22"/>
              </w:rPr>
              <w:t>NIR</w:t>
            </w:r>
            <w:r w:rsidR="005917AD" w:rsidRPr="0099282C">
              <w:rPr>
                <w:color w:val="000000"/>
                <w:sz w:val="22"/>
                <w:szCs w:val="22"/>
              </w:rPr>
              <w:t>.</w:t>
            </w:r>
            <w:r w:rsidRPr="0099282C">
              <w:rPr>
                <w:color w:val="000000"/>
                <w:sz w:val="22"/>
                <w:szCs w:val="22"/>
              </w:rPr>
              <w:t>  </w:t>
            </w:r>
          </w:p>
        </w:tc>
      </w:tr>
      <w:tr w:rsidR="008573B8" w:rsidRPr="00BD7FB4" w14:paraId="77DB5E48" w14:textId="77777777">
        <w:tc>
          <w:tcPr>
            <w:tcW w:w="1935" w:type="dxa"/>
            <w:tcBorders>
              <w:top w:val="single" w:sz="6" w:space="0" w:color="000000"/>
              <w:left w:val="single" w:sz="6" w:space="0" w:color="000000"/>
              <w:bottom w:val="single" w:sz="6" w:space="0" w:color="000000"/>
              <w:right w:val="single" w:sz="6" w:space="0" w:color="000000"/>
            </w:tcBorders>
          </w:tcPr>
          <w:p w14:paraId="6CFF1A9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Harm </w:t>
            </w:r>
          </w:p>
        </w:tc>
        <w:tc>
          <w:tcPr>
            <w:tcW w:w="7890" w:type="dxa"/>
            <w:tcBorders>
              <w:top w:val="single" w:sz="6" w:space="0" w:color="000000"/>
              <w:left w:val="single" w:sz="6" w:space="0" w:color="000000"/>
              <w:bottom w:val="single" w:sz="6" w:space="0" w:color="000000"/>
              <w:right w:val="single" w:sz="6" w:space="0" w:color="000000"/>
            </w:tcBorders>
          </w:tcPr>
          <w:p w14:paraId="11AB68A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Death, physical injury, psychological trauma and/or damage to the health or well-being of a patient. </w:t>
            </w:r>
          </w:p>
        </w:tc>
      </w:tr>
      <w:tr w:rsidR="008573B8" w:rsidRPr="00BD7FB4" w14:paraId="3D6E220D" w14:textId="77777777">
        <w:tc>
          <w:tcPr>
            <w:tcW w:w="1935" w:type="dxa"/>
            <w:tcBorders>
              <w:top w:val="single" w:sz="6" w:space="0" w:color="000000"/>
              <w:left w:val="single" w:sz="6" w:space="0" w:color="000000"/>
              <w:bottom w:val="single" w:sz="6" w:space="0" w:color="000000"/>
              <w:right w:val="single" w:sz="6" w:space="0" w:color="000000"/>
            </w:tcBorders>
          </w:tcPr>
          <w:p w14:paraId="35BCDB2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w:t>
            </w:r>
          </w:p>
        </w:tc>
        <w:tc>
          <w:tcPr>
            <w:tcW w:w="7890" w:type="dxa"/>
            <w:tcBorders>
              <w:top w:val="single" w:sz="6" w:space="0" w:color="000000"/>
              <w:left w:val="single" w:sz="6" w:space="0" w:color="000000"/>
              <w:bottom w:val="single" w:sz="6" w:space="0" w:color="000000"/>
              <w:right w:val="single" w:sz="6" w:space="0" w:color="000000"/>
            </w:tcBorders>
          </w:tcPr>
          <w:p w14:paraId="29304FB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Potential source of harm to a patient. </w:t>
            </w:r>
          </w:p>
        </w:tc>
      </w:tr>
      <w:tr w:rsidR="008573B8" w:rsidRPr="00BD7FB4" w14:paraId="0F4613A8" w14:textId="77777777">
        <w:tc>
          <w:tcPr>
            <w:tcW w:w="1935" w:type="dxa"/>
            <w:tcBorders>
              <w:top w:val="single" w:sz="6" w:space="0" w:color="000000"/>
              <w:left w:val="single" w:sz="6" w:space="0" w:color="000000"/>
              <w:bottom w:val="single" w:sz="6" w:space="0" w:color="000000"/>
              <w:right w:val="single" w:sz="6" w:space="0" w:color="000000"/>
            </w:tcBorders>
          </w:tcPr>
          <w:p w14:paraId="451D24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Log </w:t>
            </w:r>
          </w:p>
        </w:tc>
        <w:tc>
          <w:tcPr>
            <w:tcW w:w="7890" w:type="dxa"/>
            <w:tcBorders>
              <w:top w:val="single" w:sz="6" w:space="0" w:color="000000"/>
              <w:left w:val="single" w:sz="6" w:space="0" w:color="000000"/>
              <w:bottom w:val="single" w:sz="6" w:space="0" w:color="000000"/>
              <w:right w:val="single" w:sz="6" w:space="0" w:color="000000"/>
            </w:tcBorders>
          </w:tcPr>
          <w:p w14:paraId="09FB786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mechanism for recording and communicating the on-going identification of System hazards associated with a Health IT System. </w:t>
            </w:r>
          </w:p>
        </w:tc>
      </w:tr>
      <w:tr w:rsidR="008573B8" w:rsidRPr="00BD7FB4" w14:paraId="1BCAE708" w14:textId="77777777">
        <w:tc>
          <w:tcPr>
            <w:tcW w:w="1935" w:type="dxa"/>
            <w:tcBorders>
              <w:top w:val="single" w:sz="6" w:space="0" w:color="000000"/>
              <w:left w:val="single" w:sz="6" w:space="0" w:color="000000"/>
              <w:bottom w:val="single" w:sz="6" w:space="0" w:color="000000"/>
              <w:right w:val="single" w:sz="6" w:space="0" w:color="000000"/>
            </w:tcBorders>
          </w:tcPr>
          <w:p w14:paraId="0B0F471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Health IT System </w:t>
            </w:r>
          </w:p>
        </w:tc>
        <w:tc>
          <w:tcPr>
            <w:tcW w:w="7890" w:type="dxa"/>
            <w:tcBorders>
              <w:top w:val="single" w:sz="6" w:space="0" w:color="000000"/>
              <w:left w:val="single" w:sz="6" w:space="0" w:color="000000"/>
              <w:bottom w:val="single" w:sz="6" w:space="0" w:color="000000"/>
              <w:right w:val="single" w:sz="6" w:space="0" w:color="000000"/>
            </w:tcBorders>
          </w:tcPr>
          <w:p w14:paraId="6425DE38" w14:textId="0D02E4E4"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Product (such as </w:t>
            </w:r>
            <w:r w:rsidR="007A427E">
              <w:rPr>
                <w:color w:val="000000"/>
                <w:sz w:val="22"/>
                <w:szCs w:val="22"/>
              </w:rPr>
              <w:t>NIR</w:t>
            </w:r>
            <w:r w:rsidRPr="0099282C">
              <w:rPr>
                <w:color w:val="000000"/>
                <w:sz w:val="22"/>
                <w:szCs w:val="22"/>
              </w:rPr>
              <w:t>) used to provide electronic information for health or social care purposes. The product may be hardware, software, or a combination. </w:t>
            </w:r>
          </w:p>
        </w:tc>
      </w:tr>
      <w:tr w:rsidR="008573B8" w:rsidRPr="00BD7FB4" w14:paraId="2779503A" w14:textId="77777777">
        <w:tc>
          <w:tcPr>
            <w:tcW w:w="1935" w:type="dxa"/>
            <w:tcBorders>
              <w:top w:val="single" w:sz="6" w:space="0" w:color="000000"/>
              <w:left w:val="single" w:sz="6" w:space="0" w:color="000000"/>
              <w:bottom w:val="single" w:sz="6" w:space="0" w:color="000000"/>
              <w:right w:val="single" w:sz="6" w:space="0" w:color="000000"/>
            </w:tcBorders>
          </w:tcPr>
          <w:p w14:paraId="520DEBD5" w14:textId="7F91F1F1" w:rsidR="008573B8" w:rsidRPr="0099282C" w:rsidRDefault="000A01A2">
            <w:pPr>
              <w:rPr>
                <w:rFonts w:ascii="Quattrocento Sans" w:eastAsia="Quattrocento Sans" w:hAnsi="Quattrocento Sans" w:cs="Quattrocento Sans"/>
                <w:color w:val="000000"/>
                <w:sz w:val="22"/>
                <w:szCs w:val="22"/>
              </w:rPr>
            </w:pPr>
            <w:r w:rsidRPr="0099282C">
              <w:rPr>
                <w:color w:val="000000"/>
                <w:sz w:val="22"/>
                <w:szCs w:val="22"/>
              </w:rPr>
              <w:t>Residual</w:t>
            </w:r>
            <w:r w:rsidR="008573B8" w:rsidRPr="0099282C">
              <w:rPr>
                <w:color w:val="000000"/>
                <w:sz w:val="22"/>
                <w:szCs w:val="22"/>
              </w:rPr>
              <w:t xml:space="preserve"> Clinical Risk </w:t>
            </w:r>
          </w:p>
        </w:tc>
        <w:tc>
          <w:tcPr>
            <w:tcW w:w="7890" w:type="dxa"/>
            <w:tcBorders>
              <w:top w:val="single" w:sz="6" w:space="0" w:color="000000"/>
              <w:left w:val="single" w:sz="6" w:space="0" w:color="000000"/>
              <w:bottom w:val="single" w:sz="6" w:space="0" w:color="000000"/>
              <w:right w:val="single" w:sz="6" w:space="0" w:color="000000"/>
            </w:tcBorders>
          </w:tcPr>
          <w:p w14:paraId="7B1D209E" w14:textId="7FC3C5A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The clinical risk derived during clinical risk estimation</w:t>
            </w:r>
            <w:r w:rsidR="000A01A2" w:rsidRPr="0099282C">
              <w:rPr>
                <w:color w:val="000000"/>
                <w:sz w:val="22"/>
                <w:szCs w:val="22"/>
              </w:rPr>
              <w:t xml:space="preserve"> for the design</w:t>
            </w:r>
            <w:r w:rsidRPr="0099282C">
              <w:rPr>
                <w:color w:val="000000"/>
                <w:sz w:val="22"/>
                <w:szCs w:val="22"/>
              </w:rPr>
              <w:t>. </w:t>
            </w:r>
          </w:p>
        </w:tc>
      </w:tr>
      <w:tr w:rsidR="008573B8" w:rsidRPr="00BD7FB4" w14:paraId="5E15DAA2" w14:textId="77777777">
        <w:tc>
          <w:tcPr>
            <w:tcW w:w="1935" w:type="dxa"/>
            <w:tcBorders>
              <w:top w:val="single" w:sz="6" w:space="0" w:color="000000"/>
              <w:left w:val="single" w:sz="6" w:space="0" w:color="000000"/>
              <w:bottom w:val="single" w:sz="6" w:space="0" w:color="000000"/>
              <w:right w:val="single" w:sz="6" w:space="0" w:color="000000"/>
            </w:tcBorders>
          </w:tcPr>
          <w:p w14:paraId="74077A3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Intended Use </w:t>
            </w:r>
          </w:p>
        </w:tc>
        <w:tc>
          <w:tcPr>
            <w:tcW w:w="7890" w:type="dxa"/>
            <w:tcBorders>
              <w:top w:val="single" w:sz="6" w:space="0" w:color="000000"/>
              <w:left w:val="single" w:sz="6" w:space="0" w:color="000000"/>
              <w:bottom w:val="single" w:sz="6" w:space="0" w:color="000000"/>
              <w:right w:val="single" w:sz="6" w:space="0" w:color="000000"/>
            </w:tcBorders>
          </w:tcPr>
          <w:p w14:paraId="5DE966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Use of System in accordance with the specifications, instructions and information provided by the Manufacturer to its clients for its intended use. </w:t>
            </w:r>
          </w:p>
        </w:tc>
      </w:tr>
      <w:tr w:rsidR="008573B8" w:rsidRPr="00BD7FB4" w14:paraId="09F627EA" w14:textId="77777777">
        <w:tc>
          <w:tcPr>
            <w:tcW w:w="1935" w:type="dxa"/>
            <w:tcBorders>
              <w:top w:val="single" w:sz="6" w:space="0" w:color="000000"/>
              <w:left w:val="single" w:sz="6" w:space="0" w:color="000000"/>
              <w:bottom w:val="single" w:sz="6" w:space="0" w:color="000000"/>
              <w:right w:val="single" w:sz="6" w:space="0" w:color="000000"/>
            </w:tcBorders>
          </w:tcPr>
          <w:p w14:paraId="0771717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Likelihood (probability) </w:t>
            </w:r>
          </w:p>
        </w:tc>
        <w:tc>
          <w:tcPr>
            <w:tcW w:w="7890" w:type="dxa"/>
            <w:tcBorders>
              <w:top w:val="single" w:sz="6" w:space="0" w:color="000000"/>
              <w:left w:val="single" w:sz="6" w:space="0" w:color="000000"/>
              <w:bottom w:val="single" w:sz="6" w:space="0" w:color="000000"/>
              <w:right w:val="single" w:sz="6" w:space="0" w:color="000000"/>
            </w:tcBorders>
          </w:tcPr>
          <w:p w14:paraId="261B8CD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occurrence of harm. </w:t>
            </w:r>
          </w:p>
        </w:tc>
      </w:tr>
      <w:tr w:rsidR="008573B8" w:rsidRPr="00BD7FB4" w14:paraId="5B7AE96A" w14:textId="77777777">
        <w:tc>
          <w:tcPr>
            <w:tcW w:w="1935" w:type="dxa"/>
            <w:tcBorders>
              <w:top w:val="single" w:sz="6" w:space="0" w:color="000000"/>
              <w:left w:val="single" w:sz="6" w:space="0" w:color="000000"/>
              <w:bottom w:val="single" w:sz="6" w:space="0" w:color="000000"/>
              <w:right w:val="single" w:sz="6" w:space="0" w:color="000000"/>
            </w:tcBorders>
          </w:tcPr>
          <w:p w14:paraId="4365E465"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lastRenderedPageBreak/>
              <w:t>Manufacturer  </w:t>
            </w:r>
          </w:p>
        </w:tc>
        <w:tc>
          <w:tcPr>
            <w:tcW w:w="7890" w:type="dxa"/>
            <w:tcBorders>
              <w:top w:val="single" w:sz="6" w:space="0" w:color="000000"/>
              <w:left w:val="single" w:sz="6" w:space="0" w:color="000000"/>
              <w:bottom w:val="single" w:sz="6" w:space="0" w:color="000000"/>
              <w:right w:val="single" w:sz="6" w:space="0" w:color="000000"/>
            </w:tcBorders>
          </w:tcPr>
          <w:p w14:paraId="36F7CCDC" w14:textId="5EDABC19" w:rsidR="008573B8" w:rsidRPr="0099282C" w:rsidRDefault="004E23E7">
            <w:pPr>
              <w:spacing w:after="0"/>
              <w:rPr>
                <w:sz w:val="22"/>
                <w:szCs w:val="22"/>
              </w:rPr>
            </w:pPr>
            <w:r>
              <w:rPr>
                <w:sz w:val="22"/>
                <w:szCs w:val="22"/>
              </w:rPr>
              <w:t>Health Navigator</w:t>
            </w:r>
            <w:r w:rsidR="008573B8" w:rsidRPr="0099282C">
              <w:rPr>
                <w:sz w:val="22"/>
                <w:szCs w:val="22"/>
              </w:rPr>
              <w:t>, with responsibility for the design</w:t>
            </w:r>
            <w:r w:rsidR="00E34E8F" w:rsidRPr="0099282C">
              <w:rPr>
                <w:sz w:val="22"/>
                <w:szCs w:val="22"/>
              </w:rPr>
              <w:t xml:space="preserve"> and support</w:t>
            </w:r>
            <w:r w:rsidR="008573B8" w:rsidRPr="0099282C">
              <w:rPr>
                <w:sz w:val="22"/>
                <w:szCs w:val="22"/>
              </w:rPr>
              <w:t xml:space="preserve"> of </w:t>
            </w:r>
            <w:r w:rsidR="00E34E8F" w:rsidRPr="0099282C">
              <w:rPr>
                <w:sz w:val="22"/>
                <w:szCs w:val="22"/>
              </w:rPr>
              <w:t xml:space="preserve">the </w:t>
            </w:r>
            <w:r w:rsidR="00512B40">
              <w:rPr>
                <w:sz w:val="22"/>
                <w:szCs w:val="22"/>
              </w:rPr>
              <w:t xml:space="preserve">NIR </w:t>
            </w:r>
            <w:r w:rsidR="00E34E8F" w:rsidRPr="0099282C">
              <w:rPr>
                <w:sz w:val="22"/>
                <w:szCs w:val="22"/>
              </w:rPr>
              <w:t xml:space="preserve"> solution</w:t>
            </w:r>
            <w:r w:rsidR="008573B8" w:rsidRPr="0099282C">
              <w:rPr>
                <w:sz w:val="22"/>
                <w:szCs w:val="22"/>
              </w:rPr>
              <w:t>. </w:t>
            </w:r>
          </w:p>
        </w:tc>
      </w:tr>
      <w:tr w:rsidR="008573B8" w:rsidRPr="00BD7FB4" w14:paraId="05C30CA7" w14:textId="77777777">
        <w:tc>
          <w:tcPr>
            <w:tcW w:w="1935" w:type="dxa"/>
            <w:tcBorders>
              <w:top w:val="single" w:sz="6" w:space="0" w:color="000000"/>
              <w:left w:val="single" w:sz="6" w:space="0" w:color="000000"/>
              <w:bottom w:val="single" w:sz="6" w:space="0" w:color="000000"/>
              <w:right w:val="single" w:sz="6" w:space="0" w:color="000000"/>
            </w:tcBorders>
          </w:tcPr>
          <w:p w14:paraId="15596B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Patient Safety </w:t>
            </w:r>
          </w:p>
        </w:tc>
        <w:tc>
          <w:tcPr>
            <w:tcW w:w="7890" w:type="dxa"/>
            <w:tcBorders>
              <w:top w:val="single" w:sz="6" w:space="0" w:color="000000"/>
              <w:left w:val="single" w:sz="6" w:space="0" w:color="000000"/>
              <w:bottom w:val="single" w:sz="6" w:space="0" w:color="000000"/>
              <w:right w:val="single" w:sz="6" w:space="0" w:color="000000"/>
            </w:tcBorders>
          </w:tcPr>
          <w:p w14:paraId="226B345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harm to the patient. </w:t>
            </w:r>
          </w:p>
        </w:tc>
      </w:tr>
      <w:tr w:rsidR="008573B8" w:rsidRPr="00BD7FB4" w14:paraId="039E2756" w14:textId="77777777">
        <w:tc>
          <w:tcPr>
            <w:tcW w:w="1935" w:type="dxa"/>
            <w:tcBorders>
              <w:top w:val="single" w:sz="6" w:space="0" w:color="000000"/>
              <w:left w:val="single" w:sz="6" w:space="0" w:color="000000"/>
              <w:bottom w:val="single" w:sz="6" w:space="0" w:color="000000"/>
              <w:right w:val="single" w:sz="6" w:space="0" w:color="000000"/>
            </w:tcBorders>
          </w:tcPr>
          <w:p w14:paraId="26C9147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Residual Clinical Risk </w:t>
            </w:r>
          </w:p>
        </w:tc>
        <w:tc>
          <w:tcPr>
            <w:tcW w:w="7890" w:type="dxa"/>
            <w:tcBorders>
              <w:top w:val="single" w:sz="6" w:space="0" w:color="000000"/>
              <w:left w:val="single" w:sz="6" w:space="0" w:color="000000"/>
              <w:bottom w:val="single" w:sz="6" w:space="0" w:color="000000"/>
              <w:right w:val="single" w:sz="6" w:space="0" w:color="000000"/>
            </w:tcBorders>
          </w:tcPr>
          <w:p w14:paraId="0B241DF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remaining after the application of risk control measures. </w:t>
            </w:r>
          </w:p>
        </w:tc>
      </w:tr>
      <w:tr w:rsidR="008573B8" w:rsidRPr="00BD7FB4" w14:paraId="2B24E152" w14:textId="77777777">
        <w:tc>
          <w:tcPr>
            <w:tcW w:w="1935" w:type="dxa"/>
            <w:tcBorders>
              <w:top w:val="single" w:sz="6" w:space="0" w:color="000000"/>
              <w:left w:val="single" w:sz="6" w:space="0" w:color="000000"/>
              <w:bottom w:val="single" w:sz="6" w:space="0" w:color="000000"/>
              <w:right w:val="single" w:sz="6" w:space="0" w:color="000000"/>
            </w:tcBorders>
          </w:tcPr>
          <w:p w14:paraId="6557ADD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Severity (Consequence) </w:t>
            </w:r>
          </w:p>
        </w:tc>
        <w:tc>
          <w:tcPr>
            <w:tcW w:w="7890" w:type="dxa"/>
            <w:tcBorders>
              <w:top w:val="single" w:sz="6" w:space="0" w:color="000000"/>
              <w:left w:val="single" w:sz="6" w:space="0" w:color="000000"/>
              <w:bottom w:val="single" w:sz="6" w:space="0" w:color="000000"/>
              <w:right w:val="single" w:sz="6" w:space="0" w:color="000000"/>
            </w:tcBorders>
          </w:tcPr>
          <w:p w14:paraId="6FB5C3C9"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possible consequences of a hazard. </w:t>
            </w:r>
          </w:p>
        </w:tc>
      </w:tr>
    </w:tbl>
    <w:p w14:paraId="2C973945" w14:textId="77777777" w:rsidR="00B4378A" w:rsidRPr="00BD7FB4" w:rsidRDefault="00B4378A" w:rsidP="00E5704B">
      <w:pPr>
        <w:rPr>
          <w:b/>
          <w:color w:val="005EB8" w:themeColor="accent1"/>
          <w:sz w:val="42"/>
          <w:szCs w:val="42"/>
        </w:rPr>
      </w:pPr>
    </w:p>
    <w:p w14:paraId="10E07A3A" w14:textId="7E8D49ED" w:rsidR="00B4378A" w:rsidRPr="00BD7FB4" w:rsidRDefault="001F74FD" w:rsidP="001F74FD">
      <w:pPr>
        <w:spacing w:after="0"/>
        <w:textboxTightWrap w:val="none"/>
        <w:rPr>
          <w:b/>
          <w:color w:val="005EB8" w:themeColor="accent1"/>
          <w:sz w:val="42"/>
          <w:szCs w:val="42"/>
        </w:rPr>
      </w:pPr>
      <w:r w:rsidRPr="00BD7FB4">
        <w:rPr>
          <w:b/>
          <w:color w:val="005EB8" w:themeColor="accent1"/>
          <w:sz w:val="42"/>
          <w:szCs w:val="42"/>
        </w:rPr>
        <w:br w:type="page"/>
      </w:r>
    </w:p>
    <w:p w14:paraId="086B3F4B" w14:textId="77777777" w:rsidR="00650C14" w:rsidRDefault="00650C14" w:rsidP="00E5704B">
      <w:pPr>
        <w:rPr>
          <w:b/>
          <w:color w:val="005EB8" w:themeColor="accent1"/>
          <w:sz w:val="42"/>
          <w:szCs w:val="42"/>
        </w:rPr>
      </w:pPr>
    </w:p>
    <w:p w14:paraId="0EBDB653" w14:textId="7CFCC700" w:rsidR="000C24AF" w:rsidRPr="00BD7FB4" w:rsidRDefault="000C24AF" w:rsidP="00E5704B">
      <w:pPr>
        <w:rPr>
          <w:b/>
          <w:color w:val="005EB8" w:themeColor="accent1"/>
          <w:sz w:val="42"/>
          <w:szCs w:val="42"/>
        </w:rPr>
      </w:pPr>
      <w:r w:rsidRPr="00BD7FB4">
        <w:rPr>
          <w:b/>
          <w:color w:val="005EB8" w:themeColor="accent1"/>
          <w:sz w:val="42"/>
          <w:szCs w:val="42"/>
        </w:rPr>
        <w:t>Contents</w:t>
      </w:r>
    </w:p>
    <w:p w14:paraId="0A2157DF" w14:textId="31004C64" w:rsidR="00175953" w:rsidRDefault="000C24AF">
      <w:pPr>
        <w:pStyle w:val="TOC1"/>
        <w:rPr>
          <w:rFonts w:asciiTheme="minorHAnsi" w:eastAsiaTheme="minorEastAsia" w:hAnsiTheme="minorHAnsi" w:cstheme="minorBidi"/>
          <w:b w:val="0"/>
          <w:color w:val="auto"/>
          <w:kern w:val="2"/>
          <w:sz w:val="24"/>
          <w:lang w:eastAsia="en-GB"/>
          <w14:ligatures w14:val="standardContextual"/>
        </w:rPr>
      </w:pPr>
      <w:r w:rsidRPr="00BD7FB4">
        <w:rPr>
          <w:caps/>
          <w:smallCaps/>
          <w:noProof w:val="0"/>
        </w:rPr>
        <w:fldChar w:fldCharType="begin"/>
      </w:r>
      <w:r w:rsidRPr="00BD7FB4">
        <w:rPr>
          <w:caps/>
          <w:smallCaps/>
          <w:noProof w:val="0"/>
        </w:rPr>
        <w:instrText xml:space="preserve"> TOC \o "1-2" \h \z </w:instrText>
      </w:r>
      <w:r w:rsidRPr="00BD7FB4">
        <w:rPr>
          <w:caps/>
          <w:smallCaps/>
          <w:noProof w:val="0"/>
        </w:rPr>
        <w:fldChar w:fldCharType="separate"/>
      </w:r>
      <w:hyperlink w:anchor="_Toc214870509" w:history="1">
        <w:r w:rsidR="00175953" w:rsidRPr="00841285">
          <w:rPr>
            <w:rStyle w:val="Hyperlink"/>
          </w:rPr>
          <w:t>Executive Summary</w:t>
        </w:r>
        <w:r w:rsidR="00175953">
          <w:rPr>
            <w:webHidden/>
          </w:rPr>
          <w:tab/>
        </w:r>
        <w:r w:rsidR="00175953">
          <w:rPr>
            <w:webHidden/>
          </w:rPr>
          <w:fldChar w:fldCharType="begin"/>
        </w:r>
        <w:r w:rsidR="00175953">
          <w:rPr>
            <w:webHidden/>
          </w:rPr>
          <w:instrText xml:space="preserve"> PAGEREF _Toc214870509 \h </w:instrText>
        </w:r>
        <w:r w:rsidR="00175953">
          <w:rPr>
            <w:webHidden/>
          </w:rPr>
        </w:r>
        <w:r w:rsidR="00175953">
          <w:rPr>
            <w:webHidden/>
          </w:rPr>
          <w:fldChar w:fldCharType="separate"/>
        </w:r>
        <w:r w:rsidR="00175953">
          <w:rPr>
            <w:webHidden/>
          </w:rPr>
          <w:t>10</w:t>
        </w:r>
        <w:r w:rsidR="00175953">
          <w:rPr>
            <w:webHidden/>
          </w:rPr>
          <w:fldChar w:fldCharType="end"/>
        </w:r>
      </w:hyperlink>
    </w:p>
    <w:p w14:paraId="3C34C2EE" w14:textId="76D0C0E4"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0" w:history="1">
        <w:r w:rsidRPr="00841285">
          <w:rPr>
            <w:rStyle w:val="Hyperlink"/>
            <w:noProof/>
          </w:rPr>
          <w:t>Introduction</w:t>
        </w:r>
        <w:r>
          <w:rPr>
            <w:noProof/>
            <w:webHidden/>
          </w:rPr>
          <w:tab/>
        </w:r>
        <w:r>
          <w:rPr>
            <w:noProof/>
            <w:webHidden/>
          </w:rPr>
          <w:fldChar w:fldCharType="begin"/>
        </w:r>
        <w:r>
          <w:rPr>
            <w:noProof/>
            <w:webHidden/>
          </w:rPr>
          <w:instrText xml:space="preserve"> PAGEREF _Toc214870510 \h </w:instrText>
        </w:r>
        <w:r>
          <w:rPr>
            <w:noProof/>
            <w:webHidden/>
          </w:rPr>
        </w:r>
        <w:r>
          <w:rPr>
            <w:noProof/>
            <w:webHidden/>
          </w:rPr>
          <w:fldChar w:fldCharType="separate"/>
        </w:r>
        <w:r>
          <w:rPr>
            <w:noProof/>
            <w:webHidden/>
          </w:rPr>
          <w:t>11</w:t>
        </w:r>
        <w:r>
          <w:rPr>
            <w:noProof/>
            <w:webHidden/>
          </w:rPr>
          <w:fldChar w:fldCharType="end"/>
        </w:r>
      </w:hyperlink>
    </w:p>
    <w:p w14:paraId="4F26F1C9" w14:textId="225EED7C"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1" w:history="1">
        <w:r w:rsidRPr="00841285">
          <w:rPr>
            <w:rStyle w:val="Hyperlink"/>
            <w:noProof/>
          </w:rPr>
          <w:t>Background</w:t>
        </w:r>
        <w:r>
          <w:rPr>
            <w:noProof/>
            <w:webHidden/>
          </w:rPr>
          <w:tab/>
        </w:r>
        <w:r>
          <w:rPr>
            <w:noProof/>
            <w:webHidden/>
          </w:rPr>
          <w:fldChar w:fldCharType="begin"/>
        </w:r>
        <w:r>
          <w:rPr>
            <w:noProof/>
            <w:webHidden/>
          </w:rPr>
          <w:instrText xml:space="preserve"> PAGEREF _Toc214870511 \h </w:instrText>
        </w:r>
        <w:r>
          <w:rPr>
            <w:noProof/>
            <w:webHidden/>
          </w:rPr>
        </w:r>
        <w:r>
          <w:rPr>
            <w:noProof/>
            <w:webHidden/>
          </w:rPr>
          <w:fldChar w:fldCharType="separate"/>
        </w:r>
        <w:r>
          <w:rPr>
            <w:noProof/>
            <w:webHidden/>
          </w:rPr>
          <w:t>12</w:t>
        </w:r>
        <w:r>
          <w:rPr>
            <w:noProof/>
            <w:webHidden/>
          </w:rPr>
          <w:fldChar w:fldCharType="end"/>
        </w:r>
      </w:hyperlink>
    </w:p>
    <w:p w14:paraId="2416973E" w14:textId="009AAD3E"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2" w:history="1">
        <w:r w:rsidRPr="00841285">
          <w:rPr>
            <w:rStyle w:val="Hyperlink"/>
            <w:noProof/>
          </w:rPr>
          <w:t>Scope of Assessment</w:t>
        </w:r>
        <w:r>
          <w:rPr>
            <w:noProof/>
            <w:webHidden/>
          </w:rPr>
          <w:tab/>
        </w:r>
        <w:r>
          <w:rPr>
            <w:noProof/>
            <w:webHidden/>
          </w:rPr>
          <w:fldChar w:fldCharType="begin"/>
        </w:r>
        <w:r>
          <w:rPr>
            <w:noProof/>
            <w:webHidden/>
          </w:rPr>
          <w:instrText xml:space="preserve"> PAGEREF _Toc214870512 \h </w:instrText>
        </w:r>
        <w:r>
          <w:rPr>
            <w:noProof/>
            <w:webHidden/>
          </w:rPr>
        </w:r>
        <w:r>
          <w:rPr>
            <w:noProof/>
            <w:webHidden/>
          </w:rPr>
          <w:fldChar w:fldCharType="separate"/>
        </w:r>
        <w:r>
          <w:rPr>
            <w:noProof/>
            <w:webHidden/>
          </w:rPr>
          <w:t>13</w:t>
        </w:r>
        <w:r>
          <w:rPr>
            <w:noProof/>
            <w:webHidden/>
          </w:rPr>
          <w:fldChar w:fldCharType="end"/>
        </w:r>
      </w:hyperlink>
    </w:p>
    <w:p w14:paraId="11B4FC98" w14:textId="71B865E4"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3" w:history="1">
        <w:r w:rsidRPr="00841285">
          <w:rPr>
            <w:rStyle w:val="Hyperlink"/>
            <w:noProof/>
          </w:rPr>
          <w:t>Purpose and Boundaries</w:t>
        </w:r>
        <w:r>
          <w:rPr>
            <w:noProof/>
            <w:webHidden/>
          </w:rPr>
          <w:tab/>
        </w:r>
        <w:r>
          <w:rPr>
            <w:noProof/>
            <w:webHidden/>
          </w:rPr>
          <w:fldChar w:fldCharType="begin"/>
        </w:r>
        <w:r>
          <w:rPr>
            <w:noProof/>
            <w:webHidden/>
          </w:rPr>
          <w:instrText xml:space="preserve"> PAGEREF _Toc214870513 \h </w:instrText>
        </w:r>
        <w:r>
          <w:rPr>
            <w:noProof/>
            <w:webHidden/>
          </w:rPr>
        </w:r>
        <w:r>
          <w:rPr>
            <w:noProof/>
            <w:webHidden/>
          </w:rPr>
          <w:fldChar w:fldCharType="separate"/>
        </w:r>
        <w:r>
          <w:rPr>
            <w:noProof/>
            <w:webHidden/>
          </w:rPr>
          <w:t>13</w:t>
        </w:r>
        <w:r>
          <w:rPr>
            <w:noProof/>
            <w:webHidden/>
          </w:rPr>
          <w:fldChar w:fldCharType="end"/>
        </w:r>
      </w:hyperlink>
    </w:p>
    <w:p w14:paraId="674B093D" w14:textId="3E842359"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4" w:history="1">
        <w:r w:rsidRPr="00841285">
          <w:rPr>
            <w:rStyle w:val="Hyperlink"/>
            <w:noProof/>
          </w:rPr>
          <w:t>Phased Coverage</w:t>
        </w:r>
        <w:r>
          <w:rPr>
            <w:noProof/>
            <w:webHidden/>
          </w:rPr>
          <w:tab/>
        </w:r>
        <w:r>
          <w:rPr>
            <w:noProof/>
            <w:webHidden/>
          </w:rPr>
          <w:fldChar w:fldCharType="begin"/>
        </w:r>
        <w:r>
          <w:rPr>
            <w:noProof/>
            <w:webHidden/>
          </w:rPr>
          <w:instrText xml:space="preserve"> PAGEREF _Toc214870514 \h </w:instrText>
        </w:r>
        <w:r>
          <w:rPr>
            <w:noProof/>
            <w:webHidden/>
          </w:rPr>
        </w:r>
        <w:r>
          <w:rPr>
            <w:noProof/>
            <w:webHidden/>
          </w:rPr>
          <w:fldChar w:fldCharType="separate"/>
        </w:r>
        <w:r>
          <w:rPr>
            <w:noProof/>
            <w:webHidden/>
          </w:rPr>
          <w:t>14</w:t>
        </w:r>
        <w:r>
          <w:rPr>
            <w:noProof/>
            <w:webHidden/>
          </w:rPr>
          <w:fldChar w:fldCharType="end"/>
        </w:r>
      </w:hyperlink>
    </w:p>
    <w:p w14:paraId="44AE67F0" w14:textId="18E8622A"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5" w:history="1">
        <w:r w:rsidRPr="00841285">
          <w:rPr>
            <w:rStyle w:val="Hyperlink"/>
            <w:noProof/>
          </w:rPr>
          <w:t>Private Beta Overview</w:t>
        </w:r>
        <w:r>
          <w:rPr>
            <w:noProof/>
            <w:webHidden/>
          </w:rPr>
          <w:tab/>
        </w:r>
        <w:r>
          <w:rPr>
            <w:noProof/>
            <w:webHidden/>
          </w:rPr>
          <w:fldChar w:fldCharType="begin"/>
        </w:r>
        <w:r>
          <w:rPr>
            <w:noProof/>
            <w:webHidden/>
          </w:rPr>
          <w:instrText xml:space="preserve"> PAGEREF _Toc214870515 \h </w:instrText>
        </w:r>
        <w:r>
          <w:rPr>
            <w:noProof/>
            <w:webHidden/>
          </w:rPr>
        </w:r>
        <w:r>
          <w:rPr>
            <w:noProof/>
            <w:webHidden/>
          </w:rPr>
          <w:fldChar w:fldCharType="separate"/>
        </w:r>
        <w:r>
          <w:rPr>
            <w:noProof/>
            <w:webHidden/>
          </w:rPr>
          <w:t>15</w:t>
        </w:r>
        <w:r>
          <w:rPr>
            <w:noProof/>
            <w:webHidden/>
          </w:rPr>
          <w:fldChar w:fldCharType="end"/>
        </w:r>
      </w:hyperlink>
    </w:p>
    <w:p w14:paraId="71D648E9" w14:textId="032FCC54"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6" w:history="1">
        <w:r w:rsidRPr="00841285">
          <w:rPr>
            <w:rStyle w:val="Hyperlink"/>
            <w:noProof/>
          </w:rPr>
          <w:t>Exclusions</w:t>
        </w:r>
        <w:r>
          <w:rPr>
            <w:noProof/>
            <w:webHidden/>
          </w:rPr>
          <w:tab/>
        </w:r>
        <w:r>
          <w:rPr>
            <w:noProof/>
            <w:webHidden/>
          </w:rPr>
          <w:fldChar w:fldCharType="begin"/>
        </w:r>
        <w:r>
          <w:rPr>
            <w:noProof/>
            <w:webHidden/>
          </w:rPr>
          <w:instrText xml:space="preserve"> PAGEREF _Toc214870516 \h </w:instrText>
        </w:r>
        <w:r>
          <w:rPr>
            <w:noProof/>
            <w:webHidden/>
          </w:rPr>
        </w:r>
        <w:r>
          <w:rPr>
            <w:noProof/>
            <w:webHidden/>
          </w:rPr>
          <w:fldChar w:fldCharType="separate"/>
        </w:r>
        <w:r>
          <w:rPr>
            <w:noProof/>
            <w:webHidden/>
          </w:rPr>
          <w:t>16</w:t>
        </w:r>
        <w:r>
          <w:rPr>
            <w:noProof/>
            <w:webHidden/>
          </w:rPr>
          <w:fldChar w:fldCharType="end"/>
        </w:r>
      </w:hyperlink>
    </w:p>
    <w:p w14:paraId="44B813F9" w14:textId="34A5F891"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7" w:history="1">
        <w:r w:rsidRPr="00841285">
          <w:rPr>
            <w:rStyle w:val="Hyperlink"/>
            <w:noProof/>
          </w:rPr>
          <w:t>Special Considerations</w:t>
        </w:r>
        <w:r>
          <w:rPr>
            <w:noProof/>
            <w:webHidden/>
          </w:rPr>
          <w:tab/>
        </w:r>
        <w:r>
          <w:rPr>
            <w:noProof/>
            <w:webHidden/>
          </w:rPr>
          <w:fldChar w:fldCharType="begin"/>
        </w:r>
        <w:r>
          <w:rPr>
            <w:noProof/>
            <w:webHidden/>
          </w:rPr>
          <w:instrText xml:space="preserve"> PAGEREF _Toc214870517 \h </w:instrText>
        </w:r>
        <w:r>
          <w:rPr>
            <w:noProof/>
            <w:webHidden/>
          </w:rPr>
        </w:r>
        <w:r>
          <w:rPr>
            <w:noProof/>
            <w:webHidden/>
          </w:rPr>
          <w:fldChar w:fldCharType="separate"/>
        </w:r>
        <w:r>
          <w:rPr>
            <w:noProof/>
            <w:webHidden/>
          </w:rPr>
          <w:t>16</w:t>
        </w:r>
        <w:r>
          <w:rPr>
            <w:noProof/>
            <w:webHidden/>
          </w:rPr>
          <w:fldChar w:fldCharType="end"/>
        </w:r>
      </w:hyperlink>
    </w:p>
    <w:p w14:paraId="64E2FEB6" w14:textId="7D300B38"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8" w:history="1">
        <w:r w:rsidRPr="00841285">
          <w:rPr>
            <w:rStyle w:val="Hyperlink"/>
            <w:noProof/>
          </w:rPr>
          <w:t>Safety Claims Overview</w:t>
        </w:r>
        <w:r>
          <w:rPr>
            <w:noProof/>
            <w:webHidden/>
          </w:rPr>
          <w:tab/>
        </w:r>
        <w:r>
          <w:rPr>
            <w:noProof/>
            <w:webHidden/>
          </w:rPr>
          <w:fldChar w:fldCharType="begin"/>
        </w:r>
        <w:r>
          <w:rPr>
            <w:noProof/>
            <w:webHidden/>
          </w:rPr>
          <w:instrText xml:space="preserve"> PAGEREF _Toc214870518 \h </w:instrText>
        </w:r>
        <w:r>
          <w:rPr>
            <w:noProof/>
            <w:webHidden/>
          </w:rPr>
        </w:r>
        <w:r>
          <w:rPr>
            <w:noProof/>
            <w:webHidden/>
          </w:rPr>
          <w:fldChar w:fldCharType="separate"/>
        </w:r>
        <w:r>
          <w:rPr>
            <w:noProof/>
            <w:webHidden/>
          </w:rPr>
          <w:t>17</w:t>
        </w:r>
        <w:r>
          <w:rPr>
            <w:noProof/>
            <w:webHidden/>
          </w:rPr>
          <w:fldChar w:fldCharType="end"/>
        </w:r>
      </w:hyperlink>
    </w:p>
    <w:p w14:paraId="7352825A" w14:textId="162C6878"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19" w:history="1">
        <w:r w:rsidRPr="00841285">
          <w:rPr>
            <w:rStyle w:val="Hyperlink"/>
            <w:noProof/>
          </w:rPr>
          <w:t>Solution Overview &amp; Description</w:t>
        </w:r>
        <w:r>
          <w:rPr>
            <w:noProof/>
            <w:webHidden/>
          </w:rPr>
          <w:tab/>
        </w:r>
        <w:r>
          <w:rPr>
            <w:noProof/>
            <w:webHidden/>
          </w:rPr>
          <w:fldChar w:fldCharType="begin"/>
        </w:r>
        <w:r>
          <w:rPr>
            <w:noProof/>
            <w:webHidden/>
          </w:rPr>
          <w:instrText xml:space="preserve"> PAGEREF _Toc214870519 \h </w:instrText>
        </w:r>
        <w:r>
          <w:rPr>
            <w:noProof/>
            <w:webHidden/>
          </w:rPr>
        </w:r>
        <w:r>
          <w:rPr>
            <w:noProof/>
            <w:webHidden/>
          </w:rPr>
          <w:fldChar w:fldCharType="separate"/>
        </w:r>
        <w:r>
          <w:rPr>
            <w:noProof/>
            <w:webHidden/>
          </w:rPr>
          <w:t>18</w:t>
        </w:r>
        <w:r>
          <w:rPr>
            <w:noProof/>
            <w:webHidden/>
          </w:rPr>
          <w:fldChar w:fldCharType="end"/>
        </w:r>
      </w:hyperlink>
    </w:p>
    <w:p w14:paraId="3F5FA8A9" w14:textId="4EB4C99D"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0" w:history="1">
        <w:r w:rsidRPr="00841285">
          <w:rPr>
            <w:rStyle w:val="Hyperlink"/>
            <w:noProof/>
          </w:rPr>
          <w:t>Intended Use</w:t>
        </w:r>
        <w:r>
          <w:rPr>
            <w:noProof/>
            <w:webHidden/>
          </w:rPr>
          <w:tab/>
        </w:r>
        <w:r>
          <w:rPr>
            <w:noProof/>
            <w:webHidden/>
          </w:rPr>
          <w:fldChar w:fldCharType="begin"/>
        </w:r>
        <w:r>
          <w:rPr>
            <w:noProof/>
            <w:webHidden/>
          </w:rPr>
          <w:instrText xml:space="preserve"> PAGEREF _Toc214870520 \h </w:instrText>
        </w:r>
        <w:r>
          <w:rPr>
            <w:noProof/>
            <w:webHidden/>
          </w:rPr>
        </w:r>
        <w:r>
          <w:rPr>
            <w:noProof/>
            <w:webHidden/>
          </w:rPr>
          <w:fldChar w:fldCharType="separate"/>
        </w:r>
        <w:r>
          <w:rPr>
            <w:noProof/>
            <w:webHidden/>
          </w:rPr>
          <w:t>23</w:t>
        </w:r>
        <w:r>
          <w:rPr>
            <w:noProof/>
            <w:webHidden/>
          </w:rPr>
          <w:fldChar w:fldCharType="end"/>
        </w:r>
      </w:hyperlink>
    </w:p>
    <w:p w14:paraId="53D63FDF" w14:textId="1943F0D1"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1" w:history="1">
        <w:r w:rsidRPr="00841285">
          <w:rPr>
            <w:rStyle w:val="Hyperlink"/>
            <w:noProof/>
          </w:rPr>
          <w:t>Exclusions (Non-Intended Use)</w:t>
        </w:r>
        <w:r>
          <w:rPr>
            <w:noProof/>
            <w:webHidden/>
          </w:rPr>
          <w:tab/>
        </w:r>
        <w:r>
          <w:rPr>
            <w:noProof/>
            <w:webHidden/>
          </w:rPr>
          <w:fldChar w:fldCharType="begin"/>
        </w:r>
        <w:r>
          <w:rPr>
            <w:noProof/>
            <w:webHidden/>
          </w:rPr>
          <w:instrText xml:space="preserve"> PAGEREF _Toc214870521 \h </w:instrText>
        </w:r>
        <w:r>
          <w:rPr>
            <w:noProof/>
            <w:webHidden/>
          </w:rPr>
        </w:r>
        <w:r>
          <w:rPr>
            <w:noProof/>
            <w:webHidden/>
          </w:rPr>
          <w:fldChar w:fldCharType="separate"/>
        </w:r>
        <w:r>
          <w:rPr>
            <w:noProof/>
            <w:webHidden/>
          </w:rPr>
          <w:t>25</w:t>
        </w:r>
        <w:r>
          <w:rPr>
            <w:noProof/>
            <w:webHidden/>
          </w:rPr>
          <w:fldChar w:fldCharType="end"/>
        </w:r>
      </w:hyperlink>
    </w:p>
    <w:p w14:paraId="5D5D3E1A" w14:textId="131D0E0C"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2" w:history="1">
        <w:r w:rsidRPr="00841285">
          <w:rPr>
            <w:rStyle w:val="Hyperlink"/>
            <w:noProof/>
          </w:rPr>
          <w:t>Limitations</w:t>
        </w:r>
        <w:r>
          <w:rPr>
            <w:noProof/>
            <w:webHidden/>
          </w:rPr>
          <w:tab/>
        </w:r>
        <w:r>
          <w:rPr>
            <w:noProof/>
            <w:webHidden/>
          </w:rPr>
          <w:fldChar w:fldCharType="begin"/>
        </w:r>
        <w:r>
          <w:rPr>
            <w:noProof/>
            <w:webHidden/>
          </w:rPr>
          <w:instrText xml:space="preserve"> PAGEREF _Toc214870522 \h </w:instrText>
        </w:r>
        <w:r>
          <w:rPr>
            <w:noProof/>
            <w:webHidden/>
          </w:rPr>
        </w:r>
        <w:r>
          <w:rPr>
            <w:noProof/>
            <w:webHidden/>
          </w:rPr>
          <w:fldChar w:fldCharType="separate"/>
        </w:r>
        <w:r>
          <w:rPr>
            <w:noProof/>
            <w:webHidden/>
          </w:rPr>
          <w:t>25</w:t>
        </w:r>
        <w:r>
          <w:rPr>
            <w:noProof/>
            <w:webHidden/>
          </w:rPr>
          <w:fldChar w:fldCharType="end"/>
        </w:r>
      </w:hyperlink>
    </w:p>
    <w:p w14:paraId="5D246175" w14:textId="7F624E09"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3" w:history="1">
        <w:r w:rsidRPr="00841285">
          <w:rPr>
            <w:rStyle w:val="Hyperlink"/>
            <w:noProof/>
          </w:rPr>
          <w:t>Medical Device Regulations</w:t>
        </w:r>
        <w:r>
          <w:rPr>
            <w:noProof/>
            <w:webHidden/>
          </w:rPr>
          <w:tab/>
        </w:r>
        <w:r>
          <w:rPr>
            <w:noProof/>
            <w:webHidden/>
          </w:rPr>
          <w:fldChar w:fldCharType="begin"/>
        </w:r>
        <w:r>
          <w:rPr>
            <w:noProof/>
            <w:webHidden/>
          </w:rPr>
          <w:instrText xml:space="preserve"> PAGEREF _Toc214870523 \h </w:instrText>
        </w:r>
        <w:r>
          <w:rPr>
            <w:noProof/>
            <w:webHidden/>
          </w:rPr>
        </w:r>
        <w:r>
          <w:rPr>
            <w:noProof/>
            <w:webHidden/>
          </w:rPr>
          <w:fldChar w:fldCharType="separate"/>
        </w:r>
        <w:r>
          <w:rPr>
            <w:noProof/>
            <w:webHidden/>
          </w:rPr>
          <w:t>25</w:t>
        </w:r>
        <w:r>
          <w:rPr>
            <w:noProof/>
            <w:webHidden/>
          </w:rPr>
          <w:fldChar w:fldCharType="end"/>
        </w:r>
      </w:hyperlink>
    </w:p>
    <w:p w14:paraId="57BBA290" w14:textId="5CA38C02"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4" w:history="1">
        <w:r w:rsidRPr="00841285">
          <w:rPr>
            <w:rStyle w:val="Hyperlink"/>
            <w:noProof/>
          </w:rPr>
          <w:t>Clinical Risk Management Process</w:t>
        </w:r>
        <w:r>
          <w:rPr>
            <w:noProof/>
            <w:webHidden/>
          </w:rPr>
          <w:tab/>
        </w:r>
        <w:r>
          <w:rPr>
            <w:noProof/>
            <w:webHidden/>
          </w:rPr>
          <w:fldChar w:fldCharType="begin"/>
        </w:r>
        <w:r>
          <w:rPr>
            <w:noProof/>
            <w:webHidden/>
          </w:rPr>
          <w:instrText xml:space="preserve"> PAGEREF _Toc214870524 \h </w:instrText>
        </w:r>
        <w:r>
          <w:rPr>
            <w:noProof/>
            <w:webHidden/>
          </w:rPr>
        </w:r>
        <w:r>
          <w:rPr>
            <w:noProof/>
            <w:webHidden/>
          </w:rPr>
          <w:fldChar w:fldCharType="separate"/>
        </w:r>
        <w:r>
          <w:rPr>
            <w:noProof/>
            <w:webHidden/>
          </w:rPr>
          <w:t>27</w:t>
        </w:r>
        <w:r>
          <w:rPr>
            <w:noProof/>
            <w:webHidden/>
          </w:rPr>
          <w:fldChar w:fldCharType="end"/>
        </w:r>
      </w:hyperlink>
    </w:p>
    <w:p w14:paraId="54585F14" w14:textId="51FEBE96"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5" w:history="1">
        <w:r w:rsidRPr="00841285">
          <w:rPr>
            <w:rStyle w:val="Hyperlink"/>
            <w:noProof/>
          </w:rPr>
          <w:t>Clinical Risk Management File</w:t>
        </w:r>
        <w:r>
          <w:rPr>
            <w:noProof/>
            <w:webHidden/>
          </w:rPr>
          <w:tab/>
        </w:r>
        <w:r>
          <w:rPr>
            <w:noProof/>
            <w:webHidden/>
          </w:rPr>
          <w:fldChar w:fldCharType="begin"/>
        </w:r>
        <w:r>
          <w:rPr>
            <w:noProof/>
            <w:webHidden/>
          </w:rPr>
          <w:instrText xml:space="preserve"> PAGEREF _Toc214870525 \h </w:instrText>
        </w:r>
        <w:r>
          <w:rPr>
            <w:noProof/>
            <w:webHidden/>
          </w:rPr>
        </w:r>
        <w:r>
          <w:rPr>
            <w:noProof/>
            <w:webHidden/>
          </w:rPr>
          <w:fldChar w:fldCharType="separate"/>
        </w:r>
        <w:r>
          <w:rPr>
            <w:noProof/>
            <w:webHidden/>
          </w:rPr>
          <w:t>32</w:t>
        </w:r>
        <w:r>
          <w:rPr>
            <w:noProof/>
            <w:webHidden/>
          </w:rPr>
          <w:fldChar w:fldCharType="end"/>
        </w:r>
      </w:hyperlink>
    </w:p>
    <w:p w14:paraId="5D446A44" w14:textId="6DCF5C98" w:rsidR="00175953" w:rsidRDefault="00175953">
      <w:pPr>
        <w:pStyle w:val="TOC1"/>
        <w:rPr>
          <w:rFonts w:asciiTheme="minorHAnsi" w:eastAsiaTheme="minorEastAsia" w:hAnsiTheme="minorHAnsi" w:cstheme="minorBidi"/>
          <w:b w:val="0"/>
          <w:color w:val="auto"/>
          <w:kern w:val="2"/>
          <w:sz w:val="24"/>
          <w:lang w:eastAsia="en-GB"/>
          <w14:ligatures w14:val="standardContextual"/>
        </w:rPr>
      </w:pPr>
      <w:hyperlink w:anchor="_Toc214870526" w:history="1">
        <w:r w:rsidRPr="00841285">
          <w:rPr>
            <w:rStyle w:val="Hyperlink"/>
          </w:rPr>
          <w:t>Clinical Risk Identification &amp; Analysis</w:t>
        </w:r>
        <w:r>
          <w:rPr>
            <w:webHidden/>
          </w:rPr>
          <w:tab/>
        </w:r>
        <w:r>
          <w:rPr>
            <w:webHidden/>
          </w:rPr>
          <w:fldChar w:fldCharType="begin"/>
        </w:r>
        <w:r>
          <w:rPr>
            <w:webHidden/>
          </w:rPr>
          <w:instrText xml:space="preserve"> PAGEREF _Toc214870526 \h </w:instrText>
        </w:r>
        <w:r>
          <w:rPr>
            <w:webHidden/>
          </w:rPr>
        </w:r>
        <w:r>
          <w:rPr>
            <w:webHidden/>
          </w:rPr>
          <w:fldChar w:fldCharType="separate"/>
        </w:r>
        <w:r>
          <w:rPr>
            <w:webHidden/>
          </w:rPr>
          <w:t>33</w:t>
        </w:r>
        <w:r>
          <w:rPr>
            <w:webHidden/>
          </w:rPr>
          <w:fldChar w:fldCharType="end"/>
        </w:r>
      </w:hyperlink>
    </w:p>
    <w:p w14:paraId="24AD910A" w14:textId="3A197FB4"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7" w:history="1">
        <w:r w:rsidRPr="00841285">
          <w:rPr>
            <w:rStyle w:val="Hyperlink"/>
            <w:noProof/>
          </w:rPr>
          <w:t>Clinical Risk Evaluation</w:t>
        </w:r>
        <w:r>
          <w:rPr>
            <w:noProof/>
            <w:webHidden/>
          </w:rPr>
          <w:tab/>
        </w:r>
        <w:r>
          <w:rPr>
            <w:noProof/>
            <w:webHidden/>
          </w:rPr>
          <w:fldChar w:fldCharType="begin"/>
        </w:r>
        <w:r>
          <w:rPr>
            <w:noProof/>
            <w:webHidden/>
          </w:rPr>
          <w:instrText xml:space="preserve"> PAGEREF _Toc214870527 \h </w:instrText>
        </w:r>
        <w:r>
          <w:rPr>
            <w:noProof/>
            <w:webHidden/>
          </w:rPr>
        </w:r>
        <w:r>
          <w:rPr>
            <w:noProof/>
            <w:webHidden/>
          </w:rPr>
          <w:fldChar w:fldCharType="separate"/>
        </w:r>
        <w:r>
          <w:rPr>
            <w:noProof/>
            <w:webHidden/>
          </w:rPr>
          <w:t>33</w:t>
        </w:r>
        <w:r>
          <w:rPr>
            <w:noProof/>
            <w:webHidden/>
          </w:rPr>
          <w:fldChar w:fldCharType="end"/>
        </w:r>
      </w:hyperlink>
    </w:p>
    <w:p w14:paraId="31A1FA69" w14:textId="15591395"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8" w:history="1">
        <w:r w:rsidRPr="00841285">
          <w:rPr>
            <w:rStyle w:val="Hyperlink"/>
            <w:noProof/>
          </w:rPr>
          <w:t>Hazard Log Structure</w:t>
        </w:r>
        <w:r>
          <w:rPr>
            <w:noProof/>
            <w:webHidden/>
          </w:rPr>
          <w:tab/>
        </w:r>
        <w:r>
          <w:rPr>
            <w:noProof/>
            <w:webHidden/>
          </w:rPr>
          <w:fldChar w:fldCharType="begin"/>
        </w:r>
        <w:r>
          <w:rPr>
            <w:noProof/>
            <w:webHidden/>
          </w:rPr>
          <w:instrText xml:space="preserve"> PAGEREF _Toc214870528 \h </w:instrText>
        </w:r>
        <w:r>
          <w:rPr>
            <w:noProof/>
            <w:webHidden/>
          </w:rPr>
        </w:r>
        <w:r>
          <w:rPr>
            <w:noProof/>
            <w:webHidden/>
          </w:rPr>
          <w:fldChar w:fldCharType="separate"/>
        </w:r>
        <w:r>
          <w:rPr>
            <w:noProof/>
            <w:webHidden/>
          </w:rPr>
          <w:t>34</w:t>
        </w:r>
        <w:r>
          <w:rPr>
            <w:noProof/>
            <w:webHidden/>
          </w:rPr>
          <w:fldChar w:fldCharType="end"/>
        </w:r>
      </w:hyperlink>
    </w:p>
    <w:p w14:paraId="2E105674" w14:textId="5B8B513D"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29" w:history="1">
        <w:r w:rsidRPr="00841285">
          <w:rPr>
            <w:rStyle w:val="Hyperlink"/>
            <w:noProof/>
          </w:rPr>
          <w:t>Clinical Risk Control</w:t>
        </w:r>
        <w:r>
          <w:rPr>
            <w:noProof/>
            <w:webHidden/>
          </w:rPr>
          <w:tab/>
        </w:r>
        <w:r>
          <w:rPr>
            <w:noProof/>
            <w:webHidden/>
          </w:rPr>
          <w:fldChar w:fldCharType="begin"/>
        </w:r>
        <w:r>
          <w:rPr>
            <w:noProof/>
            <w:webHidden/>
          </w:rPr>
          <w:instrText xml:space="preserve"> PAGEREF _Toc214870529 \h </w:instrText>
        </w:r>
        <w:r>
          <w:rPr>
            <w:noProof/>
            <w:webHidden/>
          </w:rPr>
        </w:r>
        <w:r>
          <w:rPr>
            <w:noProof/>
            <w:webHidden/>
          </w:rPr>
          <w:fldChar w:fldCharType="separate"/>
        </w:r>
        <w:r>
          <w:rPr>
            <w:noProof/>
            <w:webHidden/>
          </w:rPr>
          <w:t>34</w:t>
        </w:r>
        <w:r>
          <w:rPr>
            <w:noProof/>
            <w:webHidden/>
          </w:rPr>
          <w:fldChar w:fldCharType="end"/>
        </w:r>
      </w:hyperlink>
    </w:p>
    <w:p w14:paraId="43D15E7B" w14:textId="63BF04B3"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0" w:history="1">
        <w:r w:rsidRPr="00841285">
          <w:rPr>
            <w:rStyle w:val="Hyperlink"/>
            <w:noProof/>
            <w:lang w:eastAsia="en-GB"/>
          </w:rPr>
          <w:t>NIR Development Process Summary</w:t>
        </w:r>
        <w:r>
          <w:rPr>
            <w:noProof/>
            <w:webHidden/>
          </w:rPr>
          <w:tab/>
        </w:r>
        <w:r>
          <w:rPr>
            <w:noProof/>
            <w:webHidden/>
          </w:rPr>
          <w:fldChar w:fldCharType="begin"/>
        </w:r>
        <w:r>
          <w:rPr>
            <w:noProof/>
            <w:webHidden/>
          </w:rPr>
          <w:instrText xml:space="preserve"> PAGEREF _Toc214870530 \h </w:instrText>
        </w:r>
        <w:r>
          <w:rPr>
            <w:noProof/>
            <w:webHidden/>
          </w:rPr>
        </w:r>
        <w:r>
          <w:rPr>
            <w:noProof/>
            <w:webHidden/>
          </w:rPr>
          <w:fldChar w:fldCharType="separate"/>
        </w:r>
        <w:r>
          <w:rPr>
            <w:noProof/>
            <w:webHidden/>
          </w:rPr>
          <w:t>35</w:t>
        </w:r>
        <w:r>
          <w:rPr>
            <w:noProof/>
            <w:webHidden/>
          </w:rPr>
          <w:fldChar w:fldCharType="end"/>
        </w:r>
      </w:hyperlink>
    </w:p>
    <w:p w14:paraId="52227351" w14:textId="31B9D78B"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1" w:history="1">
        <w:r w:rsidRPr="00841285">
          <w:rPr>
            <w:rStyle w:val="Hyperlink"/>
            <w:noProof/>
          </w:rPr>
          <w:t>Hazard Controls</w:t>
        </w:r>
        <w:r>
          <w:rPr>
            <w:noProof/>
            <w:webHidden/>
          </w:rPr>
          <w:tab/>
        </w:r>
        <w:r>
          <w:rPr>
            <w:noProof/>
            <w:webHidden/>
          </w:rPr>
          <w:fldChar w:fldCharType="begin"/>
        </w:r>
        <w:r>
          <w:rPr>
            <w:noProof/>
            <w:webHidden/>
          </w:rPr>
          <w:instrText xml:space="preserve"> PAGEREF _Toc214870531 \h </w:instrText>
        </w:r>
        <w:r>
          <w:rPr>
            <w:noProof/>
            <w:webHidden/>
          </w:rPr>
        </w:r>
        <w:r>
          <w:rPr>
            <w:noProof/>
            <w:webHidden/>
          </w:rPr>
          <w:fldChar w:fldCharType="separate"/>
        </w:r>
        <w:r>
          <w:rPr>
            <w:noProof/>
            <w:webHidden/>
          </w:rPr>
          <w:t>36</w:t>
        </w:r>
        <w:r>
          <w:rPr>
            <w:noProof/>
            <w:webHidden/>
          </w:rPr>
          <w:fldChar w:fldCharType="end"/>
        </w:r>
      </w:hyperlink>
    </w:p>
    <w:p w14:paraId="0EAED414" w14:textId="1A7BE032"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2" w:history="1">
        <w:r w:rsidRPr="00841285">
          <w:rPr>
            <w:rStyle w:val="Hyperlink"/>
            <w:noProof/>
          </w:rPr>
          <w:t>Training, Supplier Guidance and NIR User Communications</w:t>
        </w:r>
        <w:r>
          <w:rPr>
            <w:noProof/>
            <w:webHidden/>
          </w:rPr>
          <w:tab/>
        </w:r>
        <w:r>
          <w:rPr>
            <w:noProof/>
            <w:webHidden/>
          </w:rPr>
          <w:fldChar w:fldCharType="begin"/>
        </w:r>
        <w:r>
          <w:rPr>
            <w:noProof/>
            <w:webHidden/>
          </w:rPr>
          <w:instrText xml:space="preserve"> PAGEREF _Toc214870532 \h </w:instrText>
        </w:r>
        <w:r>
          <w:rPr>
            <w:noProof/>
            <w:webHidden/>
          </w:rPr>
        </w:r>
        <w:r>
          <w:rPr>
            <w:noProof/>
            <w:webHidden/>
          </w:rPr>
          <w:fldChar w:fldCharType="separate"/>
        </w:r>
        <w:r>
          <w:rPr>
            <w:noProof/>
            <w:webHidden/>
          </w:rPr>
          <w:t>37</w:t>
        </w:r>
        <w:r>
          <w:rPr>
            <w:noProof/>
            <w:webHidden/>
          </w:rPr>
          <w:fldChar w:fldCharType="end"/>
        </w:r>
      </w:hyperlink>
    </w:p>
    <w:p w14:paraId="640ABB16" w14:textId="54E79E43"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3" w:history="1">
        <w:r w:rsidRPr="00841285">
          <w:rPr>
            <w:rStyle w:val="Hyperlink"/>
            <w:noProof/>
          </w:rPr>
          <w:t>Technical Support and Incident Management</w:t>
        </w:r>
        <w:r>
          <w:rPr>
            <w:noProof/>
            <w:webHidden/>
          </w:rPr>
          <w:tab/>
        </w:r>
        <w:r>
          <w:rPr>
            <w:noProof/>
            <w:webHidden/>
          </w:rPr>
          <w:fldChar w:fldCharType="begin"/>
        </w:r>
        <w:r>
          <w:rPr>
            <w:noProof/>
            <w:webHidden/>
          </w:rPr>
          <w:instrText xml:space="preserve"> PAGEREF _Toc214870533 \h </w:instrText>
        </w:r>
        <w:r>
          <w:rPr>
            <w:noProof/>
            <w:webHidden/>
          </w:rPr>
        </w:r>
        <w:r>
          <w:rPr>
            <w:noProof/>
            <w:webHidden/>
          </w:rPr>
          <w:fldChar w:fldCharType="separate"/>
        </w:r>
        <w:r>
          <w:rPr>
            <w:noProof/>
            <w:webHidden/>
          </w:rPr>
          <w:t>38</w:t>
        </w:r>
        <w:r>
          <w:rPr>
            <w:noProof/>
            <w:webHidden/>
          </w:rPr>
          <w:fldChar w:fldCharType="end"/>
        </w:r>
      </w:hyperlink>
    </w:p>
    <w:p w14:paraId="0AB82133" w14:textId="629E2550"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4" w:history="1">
        <w:r w:rsidRPr="00841285">
          <w:rPr>
            <w:rStyle w:val="Hyperlink"/>
            <w:noProof/>
          </w:rPr>
          <w:t>Testing and Sign Off</w:t>
        </w:r>
        <w:r>
          <w:rPr>
            <w:noProof/>
            <w:webHidden/>
          </w:rPr>
          <w:tab/>
        </w:r>
        <w:r>
          <w:rPr>
            <w:noProof/>
            <w:webHidden/>
          </w:rPr>
          <w:fldChar w:fldCharType="begin"/>
        </w:r>
        <w:r>
          <w:rPr>
            <w:noProof/>
            <w:webHidden/>
          </w:rPr>
          <w:instrText xml:space="preserve"> PAGEREF _Toc214870534 \h </w:instrText>
        </w:r>
        <w:r>
          <w:rPr>
            <w:noProof/>
            <w:webHidden/>
          </w:rPr>
        </w:r>
        <w:r>
          <w:rPr>
            <w:noProof/>
            <w:webHidden/>
          </w:rPr>
          <w:fldChar w:fldCharType="separate"/>
        </w:r>
        <w:r>
          <w:rPr>
            <w:noProof/>
            <w:webHidden/>
          </w:rPr>
          <w:t>39</w:t>
        </w:r>
        <w:r>
          <w:rPr>
            <w:noProof/>
            <w:webHidden/>
          </w:rPr>
          <w:fldChar w:fldCharType="end"/>
        </w:r>
      </w:hyperlink>
    </w:p>
    <w:p w14:paraId="54DE4BB6" w14:textId="71A84A38"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5" w:history="1">
        <w:r w:rsidRPr="00841285">
          <w:rPr>
            <w:rStyle w:val="Hyperlink"/>
            <w:noProof/>
          </w:rPr>
          <w:t>Business Process Controls</w:t>
        </w:r>
        <w:r>
          <w:rPr>
            <w:noProof/>
            <w:webHidden/>
          </w:rPr>
          <w:tab/>
        </w:r>
        <w:r>
          <w:rPr>
            <w:noProof/>
            <w:webHidden/>
          </w:rPr>
          <w:fldChar w:fldCharType="begin"/>
        </w:r>
        <w:r>
          <w:rPr>
            <w:noProof/>
            <w:webHidden/>
          </w:rPr>
          <w:instrText xml:space="preserve"> PAGEREF _Toc214870535 \h </w:instrText>
        </w:r>
        <w:r>
          <w:rPr>
            <w:noProof/>
            <w:webHidden/>
          </w:rPr>
        </w:r>
        <w:r>
          <w:rPr>
            <w:noProof/>
            <w:webHidden/>
          </w:rPr>
          <w:fldChar w:fldCharType="separate"/>
        </w:r>
        <w:r>
          <w:rPr>
            <w:noProof/>
            <w:webHidden/>
          </w:rPr>
          <w:t>39</w:t>
        </w:r>
        <w:r>
          <w:rPr>
            <w:noProof/>
            <w:webHidden/>
          </w:rPr>
          <w:fldChar w:fldCharType="end"/>
        </w:r>
      </w:hyperlink>
    </w:p>
    <w:p w14:paraId="6F0B6912" w14:textId="4F6F4705"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6" w:history="1">
        <w:r w:rsidRPr="00841285">
          <w:rPr>
            <w:rStyle w:val="Hyperlink"/>
            <w:noProof/>
          </w:rPr>
          <w:t>Hazard Log</w:t>
        </w:r>
        <w:r>
          <w:rPr>
            <w:noProof/>
            <w:webHidden/>
          </w:rPr>
          <w:tab/>
        </w:r>
        <w:r>
          <w:rPr>
            <w:noProof/>
            <w:webHidden/>
          </w:rPr>
          <w:fldChar w:fldCharType="begin"/>
        </w:r>
        <w:r>
          <w:rPr>
            <w:noProof/>
            <w:webHidden/>
          </w:rPr>
          <w:instrText xml:space="preserve"> PAGEREF _Toc214870536 \h </w:instrText>
        </w:r>
        <w:r>
          <w:rPr>
            <w:noProof/>
            <w:webHidden/>
          </w:rPr>
        </w:r>
        <w:r>
          <w:rPr>
            <w:noProof/>
            <w:webHidden/>
          </w:rPr>
          <w:fldChar w:fldCharType="separate"/>
        </w:r>
        <w:r>
          <w:rPr>
            <w:noProof/>
            <w:webHidden/>
          </w:rPr>
          <w:t>40</w:t>
        </w:r>
        <w:r>
          <w:rPr>
            <w:noProof/>
            <w:webHidden/>
          </w:rPr>
          <w:fldChar w:fldCharType="end"/>
        </w:r>
      </w:hyperlink>
    </w:p>
    <w:p w14:paraId="23CABD38" w14:textId="755C52C2"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7" w:history="1">
        <w:r w:rsidRPr="00841285">
          <w:rPr>
            <w:rStyle w:val="Hyperlink"/>
            <w:noProof/>
          </w:rPr>
          <w:t>Hazards of Note (Post-Mitigation, Residual ≤ 3)</w:t>
        </w:r>
        <w:r>
          <w:rPr>
            <w:noProof/>
            <w:webHidden/>
          </w:rPr>
          <w:tab/>
        </w:r>
        <w:r>
          <w:rPr>
            <w:noProof/>
            <w:webHidden/>
          </w:rPr>
          <w:fldChar w:fldCharType="begin"/>
        </w:r>
        <w:r>
          <w:rPr>
            <w:noProof/>
            <w:webHidden/>
          </w:rPr>
          <w:instrText xml:space="preserve"> PAGEREF _Toc214870537 \h </w:instrText>
        </w:r>
        <w:r>
          <w:rPr>
            <w:noProof/>
            <w:webHidden/>
          </w:rPr>
        </w:r>
        <w:r>
          <w:rPr>
            <w:noProof/>
            <w:webHidden/>
          </w:rPr>
          <w:fldChar w:fldCharType="separate"/>
        </w:r>
        <w:r>
          <w:rPr>
            <w:noProof/>
            <w:webHidden/>
          </w:rPr>
          <w:t>42</w:t>
        </w:r>
        <w:r>
          <w:rPr>
            <w:noProof/>
            <w:webHidden/>
          </w:rPr>
          <w:fldChar w:fldCharType="end"/>
        </w:r>
      </w:hyperlink>
    </w:p>
    <w:p w14:paraId="33C9D38D" w14:textId="3102B4E9"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38" w:history="1">
        <w:r w:rsidRPr="00841285">
          <w:rPr>
            <w:rStyle w:val="Hyperlink"/>
            <w:noProof/>
          </w:rPr>
          <w:t>NIR Additional Controls and Safety Recommendations (DCB 0160)</w:t>
        </w:r>
        <w:r>
          <w:rPr>
            <w:noProof/>
            <w:webHidden/>
          </w:rPr>
          <w:tab/>
        </w:r>
        <w:r>
          <w:rPr>
            <w:noProof/>
            <w:webHidden/>
          </w:rPr>
          <w:fldChar w:fldCharType="begin"/>
        </w:r>
        <w:r>
          <w:rPr>
            <w:noProof/>
            <w:webHidden/>
          </w:rPr>
          <w:instrText xml:space="preserve"> PAGEREF _Toc214870538 \h </w:instrText>
        </w:r>
        <w:r>
          <w:rPr>
            <w:noProof/>
            <w:webHidden/>
          </w:rPr>
        </w:r>
        <w:r>
          <w:rPr>
            <w:noProof/>
            <w:webHidden/>
          </w:rPr>
          <w:fldChar w:fldCharType="separate"/>
        </w:r>
        <w:r>
          <w:rPr>
            <w:noProof/>
            <w:webHidden/>
          </w:rPr>
          <w:t>43</w:t>
        </w:r>
        <w:r>
          <w:rPr>
            <w:noProof/>
            <w:webHidden/>
          </w:rPr>
          <w:fldChar w:fldCharType="end"/>
        </w:r>
      </w:hyperlink>
    </w:p>
    <w:p w14:paraId="60C5A9A1" w14:textId="58C8AC64" w:rsidR="00175953" w:rsidRDefault="00175953">
      <w:pPr>
        <w:pStyle w:val="TOC1"/>
        <w:rPr>
          <w:rFonts w:asciiTheme="minorHAnsi" w:eastAsiaTheme="minorEastAsia" w:hAnsiTheme="minorHAnsi" w:cstheme="minorBidi"/>
          <w:b w:val="0"/>
          <w:color w:val="auto"/>
          <w:kern w:val="2"/>
          <w:sz w:val="24"/>
          <w:lang w:eastAsia="en-GB"/>
          <w14:ligatures w14:val="standardContextual"/>
        </w:rPr>
      </w:pPr>
      <w:hyperlink w:anchor="_Toc214870539" w:history="1">
        <w:r w:rsidRPr="00841285">
          <w:rPr>
            <w:rStyle w:val="Hyperlink"/>
          </w:rPr>
          <w:t>Clinical Safety Officer Recommendations</w:t>
        </w:r>
        <w:r>
          <w:rPr>
            <w:webHidden/>
          </w:rPr>
          <w:tab/>
        </w:r>
        <w:r>
          <w:rPr>
            <w:webHidden/>
          </w:rPr>
          <w:fldChar w:fldCharType="begin"/>
        </w:r>
        <w:r>
          <w:rPr>
            <w:webHidden/>
          </w:rPr>
          <w:instrText xml:space="preserve"> PAGEREF _Toc214870539 \h </w:instrText>
        </w:r>
        <w:r>
          <w:rPr>
            <w:webHidden/>
          </w:rPr>
        </w:r>
        <w:r>
          <w:rPr>
            <w:webHidden/>
          </w:rPr>
          <w:fldChar w:fldCharType="separate"/>
        </w:r>
        <w:r>
          <w:rPr>
            <w:webHidden/>
          </w:rPr>
          <w:t>44</w:t>
        </w:r>
        <w:r>
          <w:rPr>
            <w:webHidden/>
          </w:rPr>
          <w:fldChar w:fldCharType="end"/>
        </w:r>
      </w:hyperlink>
    </w:p>
    <w:p w14:paraId="1A09646D" w14:textId="46CF89AC"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0" w:history="1">
        <w:r w:rsidRPr="00841285">
          <w:rPr>
            <w:rStyle w:val="Hyperlink"/>
            <w:noProof/>
          </w:rPr>
          <w:t>Recommendations for NIR Project</w:t>
        </w:r>
        <w:r>
          <w:rPr>
            <w:noProof/>
            <w:webHidden/>
          </w:rPr>
          <w:tab/>
        </w:r>
        <w:r>
          <w:rPr>
            <w:noProof/>
            <w:webHidden/>
          </w:rPr>
          <w:fldChar w:fldCharType="begin"/>
        </w:r>
        <w:r>
          <w:rPr>
            <w:noProof/>
            <w:webHidden/>
          </w:rPr>
          <w:instrText xml:space="preserve"> PAGEREF _Toc214870540 \h </w:instrText>
        </w:r>
        <w:r>
          <w:rPr>
            <w:noProof/>
            <w:webHidden/>
          </w:rPr>
        </w:r>
        <w:r>
          <w:rPr>
            <w:noProof/>
            <w:webHidden/>
          </w:rPr>
          <w:fldChar w:fldCharType="separate"/>
        </w:r>
        <w:r>
          <w:rPr>
            <w:noProof/>
            <w:webHidden/>
          </w:rPr>
          <w:t>44</w:t>
        </w:r>
        <w:r>
          <w:rPr>
            <w:noProof/>
            <w:webHidden/>
          </w:rPr>
          <w:fldChar w:fldCharType="end"/>
        </w:r>
      </w:hyperlink>
    </w:p>
    <w:p w14:paraId="755E6264" w14:textId="3BDC341E"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1" w:history="1">
        <w:r w:rsidRPr="00841285">
          <w:rPr>
            <w:rStyle w:val="Hyperlink"/>
            <w:noProof/>
          </w:rPr>
          <w:t>Deployment Controls</w:t>
        </w:r>
        <w:r>
          <w:rPr>
            <w:noProof/>
            <w:webHidden/>
          </w:rPr>
          <w:tab/>
        </w:r>
        <w:r>
          <w:rPr>
            <w:noProof/>
            <w:webHidden/>
          </w:rPr>
          <w:fldChar w:fldCharType="begin"/>
        </w:r>
        <w:r>
          <w:rPr>
            <w:noProof/>
            <w:webHidden/>
          </w:rPr>
          <w:instrText xml:space="preserve"> PAGEREF _Toc214870541 \h </w:instrText>
        </w:r>
        <w:r>
          <w:rPr>
            <w:noProof/>
            <w:webHidden/>
          </w:rPr>
        </w:r>
        <w:r>
          <w:rPr>
            <w:noProof/>
            <w:webHidden/>
          </w:rPr>
          <w:fldChar w:fldCharType="separate"/>
        </w:r>
        <w:r>
          <w:rPr>
            <w:noProof/>
            <w:webHidden/>
          </w:rPr>
          <w:t>45</w:t>
        </w:r>
        <w:r>
          <w:rPr>
            <w:noProof/>
            <w:webHidden/>
          </w:rPr>
          <w:fldChar w:fldCharType="end"/>
        </w:r>
      </w:hyperlink>
    </w:p>
    <w:p w14:paraId="40F18A64" w14:textId="622AEC31" w:rsidR="00175953" w:rsidRDefault="00175953">
      <w:pPr>
        <w:pStyle w:val="TOC1"/>
        <w:rPr>
          <w:rFonts w:asciiTheme="minorHAnsi" w:eastAsiaTheme="minorEastAsia" w:hAnsiTheme="minorHAnsi" w:cstheme="minorBidi"/>
          <w:b w:val="0"/>
          <w:color w:val="auto"/>
          <w:kern w:val="2"/>
          <w:sz w:val="24"/>
          <w:lang w:eastAsia="en-GB"/>
          <w14:ligatures w14:val="standardContextual"/>
        </w:rPr>
      </w:pPr>
      <w:hyperlink w:anchor="_Toc214870542" w:history="1">
        <w:r w:rsidRPr="00841285">
          <w:rPr>
            <w:rStyle w:val="Hyperlink"/>
          </w:rPr>
          <w:t>Summary Safety Statement</w:t>
        </w:r>
        <w:r>
          <w:rPr>
            <w:webHidden/>
          </w:rPr>
          <w:tab/>
        </w:r>
        <w:r>
          <w:rPr>
            <w:webHidden/>
          </w:rPr>
          <w:fldChar w:fldCharType="begin"/>
        </w:r>
        <w:r>
          <w:rPr>
            <w:webHidden/>
          </w:rPr>
          <w:instrText xml:space="preserve"> PAGEREF _Toc214870542 \h </w:instrText>
        </w:r>
        <w:r>
          <w:rPr>
            <w:webHidden/>
          </w:rPr>
        </w:r>
        <w:r>
          <w:rPr>
            <w:webHidden/>
          </w:rPr>
          <w:fldChar w:fldCharType="separate"/>
        </w:r>
        <w:r>
          <w:rPr>
            <w:webHidden/>
          </w:rPr>
          <w:t>47</w:t>
        </w:r>
        <w:r>
          <w:rPr>
            <w:webHidden/>
          </w:rPr>
          <w:fldChar w:fldCharType="end"/>
        </w:r>
      </w:hyperlink>
    </w:p>
    <w:p w14:paraId="0D57061B" w14:textId="4BDB19C8" w:rsidR="00175953" w:rsidRDefault="00175953">
      <w:pPr>
        <w:pStyle w:val="TOC1"/>
        <w:rPr>
          <w:rFonts w:asciiTheme="minorHAnsi" w:eastAsiaTheme="minorEastAsia" w:hAnsiTheme="minorHAnsi" w:cstheme="minorBidi"/>
          <w:b w:val="0"/>
          <w:color w:val="auto"/>
          <w:kern w:val="2"/>
          <w:sz w:val="24"/>
          <w:lang w:eastAsia="en-GB"/>
          <w14:ligatures w14:val="standardContextual"/>
        </w:rPr>
      </w:pPr>
      <w:hyperlink w:anchor="_Toc214870543" w:history="1">
        <w:r w:rsidRPr="00841285">
          <w:rPr>
            <w:rStyle w:val="Hyperlink"/>
          </w:rPr>
          <w:t>Appendices</w:t>
        </w:r>
        <w:r>
          <w:rPr>
            <w:webHidden/>
          </w:rPr>
          <w:tab/>
        </w:r>
        <w:r>
          <w:rPr>
            <w:webHidden/>
          </w:rPr>
          <w:fldChar w:fldCharType="begin"/>
        </w:r>
        <w:r>
          <w:rPr>
            <w:webHidden/>
          </w:rPr>
          <w:instrText xml:space="preserve"> PAGEREF _Toc214870543 \h </w:instrText>
        </w:r>
        <w:r>
          <w:rPr>
            <w:webHidden/>
          </w:rPr>
        </w:r>
        <w:r>
          <w:rPr>
            <w:webHidden/>
          </w:rPr>
          <w:fldChar w:fldCharType="separate"/>
        </w:r>
        <w:r>
          <w:rPr>
            <w:webHidden/>
          </w:rPr>
          <w:t>48</w:t>
        </w:r>
        <w:r>
          <w:rPr>
            <w:webHidden/>
          </w:rPr>
          <w:fldChar w:fldCharType="end"/>
        </w:r>
      </w:hyperlink>
    </w:p>
    <w:p w14:paraId="5E92033D" w14:textId="4A9558FC"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4" w:history="1">
        <w:r w:rsidRPr="00841285">
          <w:rPr>
            <w:rStyle w:val="Hyperlink"/>
            <w:noProof/>
          </w:rPr>
          <w:t>Appendix A – Risk Matrices and Definitions</w:t>
        </w:r>
        <w:r>
          <w:rPr>
            <w:noProof/>
            <w:webHidden/>
          </w:rPr>
          <w:tab/>
        </w:r>
        <w:r>
          <w:rPr>
            <w:noProof/>
            <w:webHidden/>
          </w:rPr>
          <w:fldChar w:fldCharType="begin"/>
        </w:r>
        <w:r>
          <w:rPr>
            <w:noProof/>
            <w:webHidden/>
          </w:rPr>
          <w:instrText xml:space="preserve"> PAGEREF _Toc214870544 \h </w:instrText>
        </w:r>
        <w:r>
          <w:rPr>
            <w:noProof/>
            <w:webHidden/>
          </w:rPr>
        </w:r>
        <w:r>
          <w:rPr>
            <w:noProof/>
            <w:webHidden/>
          </w:rPr>
          <w:fldChar w:fldCharType="separate"/>
        </w:r>
        <w:r>
          <w:rPr>
            <w:noProof/>
            <w:webHidden/>
          </w:rPr>
          <w:t>48</w:t>
        </w:r>
        <w:r>
          <w:rPr>
            <w:noProof/>
            <w:webHidden/>
          </w:rPr>
          <w:fldChar w:fldCharType="end"/>
        </w:r>
      </w:hyperlink>
    </w:p>
    <w:p w14:paraId="2293154D" w14:textId="77911972"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5" w:history="1">
        <w:r w:rsidRPr="00841285">
          <w:rPr>
            <w:rStyle w:val="Hyperlink"/>
            <w:noProof/>
          </w:rPr>
          <w:t>Appendix B – NIR Deployment Controls and Safety Recommendations (DCB 0160)</w:t>
        </w:r>
        <w:r>
          <w:rPr>
            <w:noProof/>
            <w:webHidden/>
          </w:rPr>
          <w:tab/>
        </w:r>
        <w:r>
          <w:rPr>
            <w:noProof/>
            <w:webHidden/>
          </w:rPr>
          <w:fldChar w:fldCharType="begin"/>
        </w:r>
        <w:r>
          <w:rPr>
            <w:noProof/>
            <w:webHidden/>
          </w:rPr>
          <w:instrText xml:space="preserve"> PAGEREF _Toc214870545 \h </w:instrText>
        </w:r>
        <w:r>
          <w:rPr>
            <w:noProof/>
            <w:webHidden/>
          </w:rPr>
        </w:r>
        <w:r>
          <w:rPr>
            <w:noProof/>
            <w:webHidden/>
          </w:rPr>
          <w:fldChar w:fldCharType="separate"/>
        </w:r>
        <w:r>
          <w:rPr>
            <w:noProof/>
            <w:webHidden/>
          </w:rPr>
          <w:t>50</w:t>
        </w:r>
        <w:r>
          <w:rPr>
            <w:noProof/>
            <w:webHidden/>
          </w:rPr>
          <w:fldChar w:fldCharType="end"/>
        </w:r>
      </w:hyperlink>
    </w:p>
    <w:p w14:paraId="7FA4F227" w14:textId="134CC441"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6" w:history="1">
        <w:r w:rsidRPr="00841285">
          <w:rPr>
            <w:rStyle w:val="Hyperlink"/>
            <w:noProof/>
          </w:rPr>
          <w:t>Appendix C – Detailed Data Flow</w:t>
        </w:r>
        <w:r>
          <w:rPr>
            <w:noProof/>
            <w:webHidden/>
          </w:rPr>
          <w:tab/>
        </w:r>
        <w:r>
          <w:rPr>
            <w:noProof/>
            <w:webHidden/>
          </w:rPr>
          <w:fldChar w:fldCharType="begin"/>
        </w:r>
        <w:r>
          <w:rPr>
            <w:noProof/>
            <w:webHidden/>
          </w:rPr>
          <w:instrText xml:space="preserve"> PAGEREF _Toc214870546 \h </w:instrText>
        </w:r>
        <w:r>
          <w:rPr>
            <w:noProof/>
            <w:webHidden/>
          </w:rPr>
        </w:r>
        <w:r>
          <w:rPr>
            <w:noProof/>
            <w:webHidden/>
          </w:rPr>
          <w:fldChar w:fldCharType="separate"/>
        </w:r>
        <w:r>
          <w:rPr>
            <w:noProof/>
            <w:webHidden/>
          </w:rPr>
          <w:t>52</w:t>
        </w:r>
        <w:r>
          <w:rPr>
            <w:noProof/>
            <w:webHidden/>
          </w:rPr>
          <w:fldChar w:fldCharType="end"/>
        </w:r>
      </w:hyperlink>
    </w:p>
    <w:p w14:paraId="75EAB16F" w14:textId="558465B6" w:rsidR="00175953" w:rsidRDefault="00175953">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4870547" w:history="1">
        <w:r w:rsidRPr="00841285">
          <w:rPr>
            <w:rStyle w:val="Hyperlink"/>
            <w:noProof/>
          </w:rPr>
          <w:t>Appendix D – Standards Compliance</w:t>
        </w:r>
        <w:r>
          <w:rPr>
            <w:noProof/>
            <w:webHidden/>
          </w:rPr>
          <w:tab/>
        </w:r>
        <w:r>
          <w:rPr>
            <w:noProof/>
            <w:webHidden/>
          </w:rPr>
          <w:fldChar w:fldCharType="begin"/>
        </w:r>
        <w:r>
          <w:rPr>
            <w:noProof/>
            <w:webHidden/>
          </w:rPr>
          <w:instrText xml:space="preserve"> PAGEREF _Toc214870547 \h </w:instrText>
        </w:r>
        <w:r>
          <w:rPr>
            <w:noProof/>
            <w:webHidden/>
          </w:rPr>
        </w:r>
        <w:r>
          <w:rPr>
            <w:noProof/>
            <w:webHidden/>
          </w:rPr>
          <w:fldChar w:fldCharType="separate"/>
        </w:r>
        <w:r>
          <w:rPr>
            <w:noProof/>
            <w:webHidden/>
          </w:rPr>
          <w:t>53</w:t>
        </w:r>
        <w:r>
          <w:rPr>
            <w:noProof/>
            <w:webHidden/>
          </w:rPr>
          <w:fldChar w:fldCharType="end"/>
        </w:r>
      </w:hyperlink>
    </w:p>
    <w:p w14:paraId="7A04B5A8" w14:textId="47A5E57C" w:rsidR="00604243" w:rsidRDefault="000C24AF" w:rsidP="001C1A6B">
      <w:r w:rsidRPr="00BD7FB4">
        <w:fldChar w:fldCharType="end"/>
      </w:r>
      <w:bookmarkStart w:id="8" w:name="_Toc350174611"/>
    </w:p>
    <w:p w14:paraId="24635246" w14:textId="77777777" w:rsidR="004E23E7" w:rsidRDefault="004E23E7" w:rsidP="001C1A6B"/>
    <w:p w14:paraId="4474DB30" w14:textId="77777777" w:rsidR="004E23E7" w:rsidRDefault="004E23E7" w:rsidP="001C1A6B"/>
    <w:p w14:paraId="6DA27477" w14:textId="77777777" w:rsidR="00181343" w:rsidRPr="00BD7FB4" w:rsidRDefault="00181343" w:rsidP="001C1A6B"/>
    <w:p w14:paraId="3ED89351" w14:textId="2AA05F52" w:rsidR="00920234" w:rsidRPr="00BD7FB4" w:rsidRDefault="00920234" w:rsidP="001C1A6B">
      <w:pPr>
        <w:rPr>
          <w:b/>
          <w:bCs/>
          <w:color w:val="033F85" w:themeColor="text2"/>
          <w:sz w:val="28"/>
          <w:szCs w:val="28"/>
        </w:rPr>
      </w:pPr>
      <w:r w:rsidRPr="00BD7FB4">
        <w:rPr>
          <w:b/>
          <w:bCs/>
          <w:color w:val="033F85" w:themeColor="text2"/>
          <w:sz w:val="28"/>
          <w:szCs w:val="28"/>
        </w:rPr>
        <w:t>Table of Figures</w:t>
      </w:r>
    </w:p>
    <w:p w14:paraId="5B78290F" w14:textId="6F5A2C27" w:rsidR="00CF4E65" w:rsidRDefault="003D40AB">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"Figure" </w:instrText>
      </w:r>
      <w:r w:rsidRPr="00BD7FB4">
        <w:fldChar w:fldCharType="separate"/>
      </w:r>
      <w:hyperlink w:anchor="_Toc214376924" w:history="1">
        <w:r w:rsidR="00CF4E65" w:rsidRPr="00CC7282">
          <w:rPr>
            <w:rStyle w:val="Hyperlink"/>
            <w:noProof/>
          </w:rPr>
          <w:t>Figure 1 - High-Level NIR Architecture Overview – showing the federated model, registry gateway, local PACS/VNAs, and national interfaces such as the National Record Locator</w:t>
        </w:r>
        <w:r w:rsidR="00CF4E65">
          <w:rPr>
            <w:noProof/>
            <w:webHidden/>
          </w:rPr>
          <w:tab/>
        </w:r>
        <w:r w:rsidR="00CF4E65">
          <w:rPr>
            <w:noProof/>
            <w:webHidden/>
          </w:rPr>
          <w:fldChar w:fldCharType="begin"/>
        </w:r>
        <w:r w:rsidR="00CF4E65">
          <w:rPr>
            <w:noProof/>
            <w:webHidden/>
          </w:rPr>
          <w:instrText xml:space="preserve"> PAGEREF _Toc214376924 \h </w:instrText>
        </w:r>
        <w:r w:rsidR="00CF4E65">
          <w:rPr>
            <w:noProof/>
            <w:webHidden/>
          </w:rPr>
        </w:r>
        <w:r w:rsidR="00CF4E65">
          <w:rPr>
            <w:noProof/>
            <w:webHidden/>
          </w:rPr>
          <w:fldChar w:fldCharType="separate"/>
        </w:r>
        <w:r w:rsidR="00CF4E65">
          <w:rPr>
            <w:noProof/>
            <w:webHidden/>
          </w:rPr>
          <w:t>19</w:t>
        </w:r>
        <w:r w:rsidR="00CF4E65">
          <w:rPr>
            <w:noProof/>
            <w:webHidden/>
          </w:rPr>
          <w:fldChar w:fldCharType="end"/>
        </w:r>
      </w:hyperlink>
    </w:p>
    <w:p w14:paraId="2BCC1BE3" w14:textId="0CFF23B8"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5" w:history="1">
        <w:r w:rsidRPr="00CC7282">
          <w:rPr>
            <w:rStyle w:val="Hyperlink"/>
            <w:noProof/>
          </w:rPr>
          <w:t>Figure 2 - Federated Data Flow Diagram – showing local PACS/VNAs, the NIR Gateway, metadata registry, and clinician access paths.</w:t>
        </w:r>
        <w:r>
          <w:rPr>
            <w:noProof/>
            <w:webHidden/>
          </w:rPr>
          <w:tab/>
        </w:r>
        <w:r>
          <w:rPr>
            <w:noProof/>
            <w:webHidden/>
          </w:rPr>
          <w:fldChar w:fldCharType="begin"/>
        </w:r>
        <w:r>
          <w:rPr>
            <w:noProof/>
            <w:webHidden/>
          </w:rPr>
          <w:instrText xml:space="preserve"> PAGEREF _Toc214376925 \h </w:instrText>
        </w:r>
        <w:r>
          <w:rPr>
            <w:noProof/>
            <w:webHidden/>
          </w:rPr>
        </w:r>
        <w:r>
          <w:rPr>
            <w:noProof/>
            <w:webHidden/>
          </w:rPr>
          <w:fldChar w:fldCharType="separate"/>
        </w:r>
        <w:r>
          <w:rPr>
            <w:noProof/>
            <w:webHidden/>
          </w:rPr>
          <w:t>20</w:t>
        </w:r>
        <w:r>
          <w:rPr>
            <w:noProof/>
            <w:webHidden/>
          </w:rPr>
          <w:fldChar w:fldCharType="end"/>
        </w:r>
      </w:hyperlink>
    </w:p>
    <w:p w14:paraId="50569B78" w14:textId="220B7BAB"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6" w:history="1">
        <w:r w:rsidRPr="00CC7282">
          <w:rPr>
            <w:rStyle w:val="Hyperlink"/>
            <w:noProof/>
          </w:rPr>
          <w:t>Figure 3 - As Far As Possible Approach</w:t>
        </w:r>
        <w:r>
          <w:rPr>
            <w:noProof/>
            <w:webHidden/>
          </w:rPr>
          <w:tab/>
        </w:r>
        <w:r>
          <w:rPr>
            <w:noProof/>
            <w:webHidden/>
          </w:rPr>
          <w:fldChar w:fldCharType="begin"/>
        </w:r>
        <w:r>
          <w:rPr>
            <w:noProof/>
            <w:webHidden/>
          </w:rPr>
          <w:instrText xml:space="preserve"> PAGEREF _Toc214376926 \h </w:instrText>
        </w:r>
        <w:r>
          <w:rPr>
            <w:noProof/>
            <w:webHidden/>
          </w:rPr>
        </w:r>
        <w:r>
          <w:rPr>
            <w:noProof/>
            <w:webHidden/>
          </w:rPr>
          <w:fldChar w:fldCharType="separate"/>
        </w:r>
        <w:r>
          <w:rPr>
            <w:noProof/>
            <w:webHidden/>
          </w:rPr>
          <w:t>35</w:t>
        </w:r>
        <w:r>
          <w:rPr>
            <w:noProof/>
            <w:webHidden/>
          </w:rPr>
          <w:fldChar w:fldCharType="end"/>
        </w:r>
      </w:hyperlink>
    </w:p>
    <w:p w14:paraId="784A0FDC" w14:textId="259739CA" w:rsidR="00DC3660" w:rsidRPr="00BD7FB4" w:rsidRDefault="003D40AB">
      <w:pPr>
        <w:spacing w:after="0"/>
        <w:textboxTightWrap w:val="none"/>
      </w:pPr>
      <w:r w:rsidRPr="00BD7FB4">
        <w:fldChar w:fldCharType="end"/>
      </w:r>
    </w:p>
    <w:p w14:paraId="514ABE32" w14:textId="73DD2F52" w:rsidR="0088267C" w:rsidRPr="00BD7FB4" w:rsidRDefault="0088267C">
      <w:pPr>
        <w:spacing w:after="0"/>
        <w:textboxTightWrap w:val="none"/>
        <w:rPr>
          <w:b/>
          <w:bCs/>
          <w:color w:val="033F85" w:themeColor="text2"/>
          <w:sz w:val="28"/>
          <w:szCs w:val="28"/>
        </w:rPr>
      </w:pPr>
      <w:r w:rsidRPr="00BD7FB4">
        <w:rPr>
          <w:b/>
          <w:bCs/>
          <w:color w:val="033F85" w:themeColor="text2"/>
          <w:sz w:val="28"/>
          <w:szCs w:val="28"/>
        </w:rPr>
        <w:t>Table of Tables</w:t>
      </w:r>
    </w:p>
    <w:p w14:paraId="07DAAD7B" w14:textId="77777777" w:rsidR="0088267C" w:rsidRPr="00BD7FB4" w:rsidRDefault="0088267C">
      <w:pPr>
        <w:spacing w:after="0"/>
        <w:textboxTightWrap w:val="none"/>
      </w:pPr>
    </w:p>
    <w:p w14:paraId="2628811B" w14:textId="26A3B6CE" w:rsidR="00CF4E65" w:rsidRDefault="00DC3660">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"Table" </w:instrText>
      </w:r>
      <w:r w:rsidRPr="00BD7FB4">
        <w:fldChar w:fldCharType="separate"/>
      </w:r>
      <w:hyperlink w:anchor="_Toc214376927" w:history="1">
        <w:r w:rsidR="00CF4E65" w:rsidRPr="00530904">
          <w:rPr>
            <w:rStyle w:val="Hyperlink"/>
            <w:noProof/>
          </w:rPr>
          <w:t>Table 1 – NIR Standards and Frameworks</w:t>
        </w:r>
        <w:r w:rsidR="00CF4E65">
          <w:rPr>
            <w:noProof/>
            <w:webHidden/>
          </w:rPr>
          <w:tab/>
        </w:r>
        <w:r w:rsidR="00CF4E65">
          <w:rPr>
            <w:noProof/>
            <w:webHidden/>
          </w:rPr>
          <w:fldChar w:fldCharType="begin"/>
        </w:r>
        <w:r w:rsidR="00CF4E65">
          <w:rPr>
            <w:noProof/>
            <w:webHidden/>
          </w:rPr>
          <w:instrText xml:space="preserve"> PAGEREF _Toc214376927 \h </w:instrText>
        </w:r>
        <w:r w:rsidR="00CF4E65">
          <w:rPr>
            <w:noProof/>
            <w:webHidden/>
          </w:rPr>
        </w:r>
        <w:r w:rsidR="00CF4E65">
          <w:rPr>
            <w:noProof/>
            <w:webHidden/>
          </w:rPr>
          <w:fldChar w:fldCharType="separate"/>
        </w:r>
        <w:r w:rsidR="00CF4E65">
          <w:rPr>
            <w:noProof/>
            <w:webHidden/>
          </w:rPr>
          <w:t>22</w:t>
        </w:r>
        <w:r w:rsidR="00CF4E65">
          <w:rPr>
            <w:noProof/>
            <w:webHidden/>
          </w:rPr>
          <w:fldChar w:fldCharType="end"/>
        </w:r>
      </w:hyperlink>
    </w:p>
    <w:p w14:paraId="7AEDA952" w14:textId="71C57B9C"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8" w:history="1">
        <w:r w:rsidRPr="00530904">
          <w:rPr>
            <w:rStyle w:val="Hyperlink"/>
            <w:noProof/>
          </w:rPr>
          <w:t>Table 2 - Clinical Safety Roles and Responsibilities</w:t>
        </w:r>
        <w:r>
          <w:rPr>
            <w:noProof/>
            <w:webHidden/>
          </w:rPr>
          <w:tab/>
        </w:r>
        <w:r>
          <w:rPr>
            <w:noProof/>
            <w:webHidden/>
          </w:rPr>
          <w:fldChar w:fldCharType="begin"/>
        </w:r>
        <w:r>
          <w:rPr>
            <w:noProof/>
            <w:webHidden/>
          </w:rPr>
          <w:instrText xml:space="preserve"> PAGEREF _Toc214376928 \h </w:instrText>
        </w:r>
        <w:r>
          <w:rPr>
            <w:noProof/>
            <w:webHidden/>
          </w:rPr>
        </w:r>
        <w:r>
          <w:rPr>
            <w:noProof/>
            <w:webHidden/>
          </w:rPr>
          <w:fldChar w:fldCharType="separate"/>
        </w:r>
        <w:r>
          <w:rPr>
            <w:noProof/>
            <w:webHidden/>
          </w:rPr>
          <w:t>31</w:t>
        </w:r>
        <w:r>
          <w:rPr>
            <w:noProof/>
            <w:webHidden/>
          </w:rPr>
          <w:fldChar w:fldCharType="end"/>
        </w:r>
      </w:hyperlink>
    </w:p>
    <w:p w14:paraId="0A8597B1" w14:textId="42D25280"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9" w:history="1">
        <w:r w:rsidRPr="00530904">
          <w:rPr>
            <w:rStyle w:val="Hyperlink"/>
            <w:noProof/>
          </w:rPr>
          <w:t>Table 3 - Residual Design Risk Score for NIR</w:t>
        </w:r>
        <w:r>
          <w:rPr>
            <w:noProof/>
            <w:webHidden/>
          </w:rPr>
          <w:tab/>
        </w:r>
        <w:r>
          <w:rPr>
            <w:noProof/>
            <w:webHidden/>
          </w:rPr>
          <w:fldChar w:fldCharType="begin"/>
        </w:r>
        <w:r>
          <w:rPr>
            <w:noProof/>
            <w:webHidden/>
          </w:rPr>
          <w:instrText xml:space="preserve"> PAGEREF _Toc214376929 \h </w:instrText>
        </w:r>
        <w:r>
          <w:rPr>
            <w:noProof/>
            <w:webHidden/>
          </w:rPr>
        </w:r>
        <w:r>
          <w:rPr>
            <w:noProof/>
            <w:webHidden/>
          </w:rPr>
          <w:fldChar w:fldCharType="separate"/>
        </w:r>
        <w:r>
          <w:rPr>
            <w:noProof/>
            <w:webHidden/>
          </w:rPr>
          <w:t>33</w:t>
        </w:r>
        <w:r>
          <w:rPr>
            <w:noProof/>
            <w:webHidden/>
          </w:rPr>
          <w:fldChar w:fldCharType="end"/>
        </w:r>
      </w:hyperlink>
    </w:p>
    <w:p w14:paraId="1A890D79" w14:textId="4219202A" w:rsidR="00DC3660" w:rsidRPr="00BD7FB4" w:rsidRDefault="00DC3660">
      <w:pPr>
        <w:spacing w:after="0"/>
        <w:textboxTightWrap w:val="none"/>
      </w:pPr>
      <w:r w:rsidRPr="00BD7FB4">
        <w:fldChar w:fldCharType="end"/>
      </w:r>
    </w:p>
    <w:p w14:paraId="32A5CC75" w14:textId="77777777" w:rsidR="004D12F4" w:rsidRDefault="004D12F4">
      <w:pPr>
        <w:spacing w:after="0"/>
        <w:textboxTightWrap w:val="none"/>
        <w:rPr>
          <w:rFonts w:cs="Arial"/>
          <w:b/>
          <w:bCs/>
          <w:color w:val="auto"/>
          <w:spacing w:val="-14"/>
          <w:kern w:val="28"/>
          <w:sz w:val="42"/>
          <w:szCs w:val="32"/>
          <w14:ligatures w14:val="standardContextual"/>
        </w:rPr>
      </w:pPr>
      <w:r>
        <w:rPr>
          <w:color w:val="auto"/>
        </w:rPr>
        <w:br w:type="page"/>
      </w:r>
    </w:p>
    <w:p w14:paraId="415E2C69" w14:textId="3385E4C3" w:rsidR="000B5996" w:rsidRDefault="000B5996" w:rsidP="00FF0C45">
      <w:pPr>
        <w:pStyle w:val="Heading1"/>
      </w:pPr>
      <w:bookmarkStart w:id="9" w:name="_Toc214870509"/>
      <w:r w:rsidRPr="00FF0C45">
        <w:lastRenderedPageBreak/>
        <w:t>Executive Summary</w:t>
      </w:r>
      <w:bookmarkEnd w:id="9"/>
      <w:r w:rsidRPr="00FF0C45">
        <w:t xml:space="preserve"> </w:t>
      </w:r>
    </w:p>
    <w:p w14:paraId="60345D17" w14:textId="77777777" w:rsidR="000C2D03" w:rsidRPr="00175953" w:rsidRDefault="000C2D03" w:rsidP="000C2D03">
      <w:pPr>
        <w:spacing w:line="276" w:lineRule="auto"/>
        <w:jc w:val="both"/>
        <w:rPr>
          <w:rFonts w:asciiTheme="minorHAnsi" w:hAnsiTheme="minorHAnsi" w:cstheme="minorBidi"/>
        </w:rPr>
      </w:pPr>
      <w:r w:rsidRPr="00175953">
        <w:rPr>
          <w:rFonts w:asciiTheme="minorHAnsi" w:hAnsiTheme="minorHAnsi" w:cstheme="minorBidi"/>
        </w:rPr>
        <w:t>The National Image Registry (NIR) forms part of NHS England’s national digital imaging transformation programme. It establishes a federated repository and discovery framework for diagnostic imaging studies across the NHS, enabling consistent, standards-based access to imaging metadata to support patient care, operational efficiency, and research enablement.</w:t>
      </w:r>
    </w:p>
    <w:p w14:paraId="41F5DC24" w14:textId="3C14486D" w:rsidR="000C2D03" w:rsidRPr="00175953" w:rsidRDefault="000C2D03" w:rsidP="000C2D03">
      <w:pPr>
        <w:spacing w:line="276" w:lineRule="auto"/>
        <w:jc w:val="both"/>
        <w:rPr>
          <w:rFonts w:asciiTheme="minorHAnsi" w:hAnsiTheme="minorHAnsi" w:cstheme="minorBidi"/>
        </w:rPr>
      </w:pPr>
      <w:r w:rsidRPr="00175953">
        <w:rPr>
          <w:rFonts w:asciiTheme="minorHAnsi" w:hAnsiTheme="minorHAnsi" w:cstheme="minorBidi"/>
          <w:b/>
          <w:bCs/>
        </w:rPr>
        <w:t>Scope</w:t>
      </w:r>
      <w:r w:rsidR="002C630F" w:rsidRPr="00175953">
        <w:rPr>
          <w:rFonts w:asciiTheme="minorHAnsi" w:hAnsiTheme="minorHAnsi" w:cstheme="minorBidi"/>
          <w:b/>
          <w:bCs/>
        </w:rPr>
        <w:t xml:space="preserve">: </w:t>
      </w:r>
      <w:r w:rsidRPr="00175953">
        <w:rPr>
          <w:rFonts w:asciiTheme="minorHAnsi" w:hAnsiTheme="minorHAnsi" w:cstheme="minorBidi"/>
        </w:rPr>
        <w:t xml:space="preserve">This Clinical Safety Case </w:t>
      </w:r>
      <w:r w:rsidRPr="00175953">
        <w:rPr>
          <w:rFonts w:asciiTheme="minorHAnsi" w:hAnsiTheme="minorHAnsi" w:cstheme="minorBidi"/>
          <w:color w:val="auto"/>
        </w:rPr>
        <w:t xml:space="preserve">covers </w:t>
      </w:r>
      <w:r w:rsidR="003A2899" w:rsidRPr="00175953">
        <w:rPr>
          <w:rFonts w:asciiTheme="minorHAnsi" w:hAnsiTheme="minorHAnsi" w:cstheme="minorBidi"/>
          <w:color w:val="auto"/>
        </w:rPr>
        <w:t xml:space="preserve">Patient </w:t>
      </w:r>
      <w:r w:rsidR="00226233" w:rsidRPr="00175953">
        <w:rPr>
          <w:rFonts w:asciiTheme="minorHAnsi" w:hAnsiTheme="minorHAnsi" w:cstheme="minorBidi"/>
          <w:color w:val="auto"/>
        </w:rPr>
        <w:t>Discovery &amp; Report Retrieval</w:t>
      </w:r>
      <w:r w:rsidRPr="00175953">
        <w:rPr>
          <w:rFonts w:asciiTheme="minorHAnsi" w:hAnsiTheme="minorHAnsi" w:cstheme="minorBidi"/>
          <w:color w:val="auto"/>
        </w:rPr>
        <w:t xml:space="preserve"> and </w:t>
      </w:r>
      <w:r w:rsidR="003A2899" w:rsidRPr="00175953">
        <w:rPr>
          <w:rFonts w:asciiTheme="minorHAnsi" w:hAnsiTheme="minorHAnsi" w:cstheme="minorBidi"/>
          <w:color w:val="auto"/>
        </w:rPr>
        <w:t>Image retrieval for the XCA endpoint</w:t>
      </w:r>
      <w:r w:rsidR="00A40BD4">
        <w:rPr>
          <w:rFonts w:asciiTheme="minorHAnsi" w:hAnsiTheme="minorHAnsi" w:cstheme="minorBidi"/>
          <w:color w:val="auto"/>
        </w:rPr>
        <w:t xml:space="preserve"> (Private Beta)</w:t>
      </w:r>
      <w:r w:rsidRPr="00175953">
        <w:rPr>
          <w:rFonts w:asciiTheme="minorHAnsi" w:hAnsiTheme="minorHAnsi" w:cstheme="minorBidi"/>
          <w:color w:val="auto"/>
        </w:rPr>
        <w:t>. The saf</w:t>
      </w:r>
      <w:r w:rsidRPr="00175953">
        <w:rPr>
          <w:rFonts w:asciiTheme="minorHAnsi" w:hAnsiTheme="minorHAnsi" w:cstheme="minorBidi"/>
        </w:rPr>
        <w:t>ety case provides assurance that appropriate clinical safety governance, risk management, and mitigations are in place for th</w:t>
      </w:r>
      <w:r w:rsidR="003A2899" w:rsidRPr="00175953">
        <w:rPr>
          <w:rFonts w:asciiTheme="minorHAnsi" w:hAnsiTheme="minorHAnsi" w:cstheme="minorBidi"/>
        </w:rPr>
        <w:t>is</w:t>
      </w:r>
      <w:r w:rsidRPr="00175953">
        <w:rPr>
          <w:rFonts w:asciiTheme="minorHAnsi" w:hAnsiTheme="minorHAnsi" w:cstheme="minorBidi"/>
        </w:rPr>
        <w:t xml:space="preserve"> deployment </w:t>
      </w:r>
      <w:r w:rsidR="00175953" w:rsidRPr="00175953">
        <w:rPr>
          <w:rFonts w:asciiTheme="minorHAnsi" w:hAnsiTheme="minorHAnsi" w:cstheme="minorBidi"/>
        </w:rPr>
        <w:t>iteration</w:t>
      </w:r>
      <w:r w:rsidRPr="00175953">
        <w:rPr>
          <w:rFonts w:asciiTheme="minorHAnsi" w:hAnsiTheme="minorHAnsi" w:cstheme="minorBidi"/>
        </w:rPr>
        <w:t>.</w:t>
      </w:r>
    </w:p>
    <w:p w14:paraId="352BF990" w14:textId="62A09857" w:rsidR="000C2D03" w:rsidRPr="00175953" w:rsidRDefault="000C2D03" w:rsidP="000C2D03">
      <w:pPr>
        <w:spacing w:line="276" w:lineRule="auto"/>
        <w:jc w:val="both"/>
        <w:rPr>
          <w:rFonts w:asciiTheme="minorHAnsi" w:hAnsiTheme="minorHAnsi" w:cstheme="minorBidi"/>
        </w:rPr>
      </w:pPr>
      <w:r w:rsidRPr="00175953">
        <w:rPr>
          <w:rFonts w:asciiTheme="minorHAnsi" w:hAnsiTheme="minorHAnsi" w:cstheme="minorBidi"/>
          <w:b/>
          <w:bCs/>
        </w:rPr>
        <w:t>Safety Management Approach</w:t>
      </w:r>
      <w:r w:rsidR="002C630F" w:rsidRPr="00175953">
        <w:rPr>
          <w:rFonts w:asciiTheme="minorHAnsi" w:hAnsiTheme="minorHAnsi" w:cstheme="minorBidi"/>
          <w:b/>
          <w:bCs/>
        </w:rPr>
        <w:t xml:space="preserve">: </w:t>
      </w:r>
      <w:r w:rsidRPr="00175953">
        <w:rPr>
          <w:rFonts w:asciiTheme="minorHAnsi" w:hAnsiTheme="minorHAnsi" w:cstheme="minorBidi"/>
        </w:rPr>
        <w:t>The safety assurance of NIR has been managed under the NHS England Clinical Safety Management System, aligned with DCB 0129. A phased review approach was adopted, with two structured Clinical Safety Workshops involving cross-disciplinary stakeholders, including clinical, technical, and programme governance representatives.</w:t>
      </w:r>
    </w:p>
    <w:p w14:paraId="7311E971" w14:textId="3D7AF219" w:rsidR="000C2D03" w:rsidRDefault="000C2D03" w:rsidP="000C2D03">
      <w:pPr>
        <w:spacing w:line="276" w:lineRule="auto"/>
        <w:jc w:val="both"/>
        <w:rPr>
          <w:rFonts w:asciiTheme="minorHAnsi" w:hAnsiTheme="minorHAnsi" w:cstheme="minorBidi"/>
        </w:rPr>
      </w:pPr>
      <w:r w:rsidRPr="00175953">
        <w:rPr>
          <w:rFonts w:asciiTheme="minorHAnsi" w:hAnsiTheme="minorHAnsi" w:cstheme="minorBidi"/>
        </w:rPr>
        <w:t xml:space="preserve">Each subsequent </w:t>
      </w:r>
      <w:r w:rsidR="003A2899" w:rsidRPr="00175953">
        <w:rPr>
          <w:rFonts w:asciiTheme="minorHAnsi" w:hAnsiTheme="minorHAnsi" w:cstheme="minorBidi"/>
        </w:rPr>
        <w:t>feature iteration</w:t>
      </w:r>
      <w:r w:rsidRPr="00175953">
        <w:rPr>
          <w:rFonts w:asciiTheme="minorHAnsi" w:hAnsiTheme="minorHAnsi" w:cstheme="minorBidi"/>
        </w:rPr>
        <w:t xml:space="preserve"> includes a formal review of the safety position and hazard log to ensure emerging risks are captured, mitigations remain effective, and evidence is updated accordingly.</w:t>
      </w:r>
    </w:p>
    <w:p w14:paraId="7FD72A34" w14:textId="77777777" w:rsidR="00B3622E" w:rsidRDefault="00B3622E" w:rsidP="000C2D03">
      <w:pPr>
        <w:spacing w:line="276" w:lineRule="auto"/>
        <w:jc w:val="both"/>
        <w:rPr>
          <w:rFonts w:asciiTheme="minorHAnsi" w:hAnsiTheme="minorHAnsi" w:cstheme="minorHAnsi"/>
          <w:color w:val="auto"/>
          <w:lang w:eastAsia="en-GB"/>
        </w:rPr>
      </w:pPr>
      <w:r w:rsidRPr="00B3622E">
        <w:rPr>
          <w:rFonts w:asciiTheme="minorHAnsi" w:hAnsiTheme="minorHAnsi" w:cstheme="minorBidi"/>
          <w:b/>
          <w:bCs/>
        </w:rPr>
        <w:t>Complementary DCB0160 Activities</w:t>
      </w:r>
      <w:r>
        <w:rPr>
          <w:rFonts w:asciiTheme="minorHAnsi" w:hAnsiTheme="minorHAnsi" w:cstheme="minorBidi"/>
        </w:rPr>
        <w:t xml:space="preserve">: </w:t>
      </w:r>
      <w:r w:rsidRPr="00B3622E">
        <w:rPr>
          <w:rFonts w:asciiTheme="minorHAnsi" w:hAnsiTheme="minorHAnsi" w:cstheme="minorHAnsi"/>
          <w:color w:val="auto"/>
          <w:lang w:eastAsia="en-GB"/>
        </w:rPr>
        <w:t>Complementary DCB0160 activities are required for all deploying organisations and connected suppliers. Whilst supplier onboarding provides technical assurance, safe clinical deployment is dependent on each organisation completing and implementing local DCB0160 controls. This is operationalised through the NIR onboarding model, which includes defined clinical safety guardrails, governance oversight, and formal verification prior to go-live.</w:t>
      </w:r>
      <w:r>
        <w:rPr>
          <w:rFonts w:asciiTheme="minorHAnsi" w:hAnsiTheme="minorHAnsi" w:cstheme="minorHAnsi"/>
          <w:color w:val="auto"/>
          <w:lang w:eastAsia="en-GB"/>
        </w:rPr>
        <w:t xml:space="preserve"> </w:t>
      </w:r>
    </w:p>
    <w:p w14:paraId="2EF61D09" w14:textId="289B5E4C" w:rsidR="00B3622E" w:rsidRDefault="00B3622E" w:rsidP="00B3622E">
      <w:pPr>
        <w:spacing w:line="276" w:lineRule="auto"/>
        <w:jc w:val="both"/>
        <w:rPr>
          <w:rFonts w:asciiTheme="minorHAnsi" w:hAnsiTheme="minorHAnsi" w:cstheme="minorHAnsi"/>
          <w:color w:val="auto"/>
          <w:lang w:eastAsia="en-GB"/>
        </w:rPr>
      </w:pPr>
      <w:r w:rsidRPr="00B3622E">
        <w:rPr>
          <w:rFonts w:asciiTheme="minorHAnsi" w:hAnsiTheme="minorHAnsi" w:cstheme="minorHAnsi"/>
          <w:color w:val="auto"/>
          <w:lang w:eastAsia="en-GB"/>
        </w:rPr>
        <w:t>With the transition from onboarding at imaging network level to individual Trust/organisation level (increasing from approximately 10 to up to ~50 organisations), the clinical safety model places increased reliance on the consistent implementation of local deployment controls under DCB0160. Whilst the NIR design and supplier onboarding processes provide robust technical assurance, safe clinical use is dependent on each deploying organisation completing and maintaining its own DCB0160 safety documentation and operational controls.</w:t>
      </w:r>
      <w:r>
        <w:rPr>
          <w:rFonts w:asciiTheme="minorHAnsi" w:hAnsiTheme="minorHAnsi" w:cstheme="minorHAnsi"/>
          <w:color w:val="auto"/>
          <w:lang w:eastAsia="en-GB"/>
        </w:rPr>
        <w:t xml:space="preserve"> </w:t>
      </w:r>
    </w:p>
    <w:p w14:paraId="53F9E841" w14:textId="3AC83DC2" w:rsidR="005C0591" w:rsidRPr="00B3622E" w:rsidRDefault="005C0591" w:rsidP="005C0591">
      <w:pPr>
        <w:spacing w:after="0" w:line="360"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To support safe scaling, a structured onboarding model aligned to the NHS England Digital Onboarding Service (DOS) has been implemented. This includes defined clinical safety guardrails requiring:</w:t>
      </w:r>
    </w:p>
    <w:p w14:paraId="354FD82F" w14:textId="77777777" w:rsidR="005C0591" w:rsidRPr="00B3622E" w:rsidRDefault="005C0591" w:rsidP="005C0591">
      <w:pPr>
        <w:spacing w:after="0" w:line="360"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 Completion of DCB0160 documentation (CSCR, Hazard Log, CRMP)</w:t>
      </w:r>
      <w:r w:rsidRPr="00B3622E">
        <w:rPr>
          <w:rFonts w:asciiTheme="minorHAnsi" w:hAnsiTheme="minorHAnsi" w:cstheme="minorHAnsi"/>
          <w:color w:val="auto"/>
          <w:lang w:eastAsia="en-GB"/>
        </w:rPr>
        <w:br/>
        <w:t>• Formal Clinical Safety Officer (CSO) sign-off</w:t>
      </w:r>
      <w:r w:rsidRPr="00B3622E">
        <w:rPr>
          <w:rFonts w:asciiTheme="minorHAnsi" w:hAnsiTheme="minorHAnsi" w:cstheme="minorHAnsi"/>
          <w:color w:val="auto"/>
          <w:lang w:eastAsia="en-GB"/>
        </w:rPr>
        <w:br/>
        <w:t>• Submission of a deployment Safety Form confirming implementation of local controls</w:t>
      </w:r>
      <w:r w:rsidRPr="00B3622E">
        <w:rPr>
          <w:rFonts w:asciiTheme="minorHAnsi" w:hAnsiTheme="minorHAnsi" w:cstheme="minorHAnsi"/>
          <w:color w:val="auto"/>
          <w:lang w:eastAsia="en-GB"/>
        </w:rPr>
        <w:br/>
        <w:t>• Review and approval through the NIR Onboarding Governance Group</w:t>
      </w:r>
    </w:p>
    <w:p w14:paraId="03F58395" w14:textId="0B519CEA" w:rsidR="005C0591" w:rsidRDefault="005C0591" w:rsidP="005C0591">
      <w:pPr>
        <w:spacing w:after="0" w:line="360"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Prior to go-live, each organisation must demonstrate clinical, technical, and operational readiness in line with these requirements.</w:t>
      </w:r>
    </w:p>
    <w:p w14:paraId="1B216797" w14:textId="77777777" w:rsidR="005C0591" w:rsidRPr="005C0591" w:rsidRDefault="005C0591" w:rsidP="005C0591">
      <w:pPr>
        <w:spacing w:after="0" w:line="360" w:lineRule="auto"/>
        <w:textboxTightWrap w:val="none"/>
        <w:rPr>
          <w:rFonts w:asciiTheme="minorHAnsi" w:hAnsiTheme="minorHAnsi" w:cstheme="minorHAnsi"/>
          <w:color w:val="auto"/>
          <w:lang w:eastAsia="en-GB"/>
        </w:rPr>
      </w:pPr>
    </w:p>
    <w:p w14:paraId="0A276F6E" w14:textId="54AA090C" w:rsidR="000C2D03" w:rsidRPr="00175953" w:rsidRDefault="000C2D03" w:rsidP="000C2D03">
      <w:pPr>
        <w:spacing w:line="276" w:lineRule="auto"/>
        <w:jc w:val="both"/>
        <w:rPr>
          <w:rFonts w:asciiTheme="minorHAnsi" w:hAnsiTheme="minorHAnsi" w:cstheme="minorBidi"/>
        </w:rPr>
      </w:pPr>
      <w:r w:rsidRPr="00175953">
        <w:rPr>
          <w:rFonts w:asciiTheme="minorHAnsi" w:hAnsiTheme="minorHAnsi" w:cstheme="minorBidi"/>
          <w:b/>
          <w:bCs/>
        </w:rPr>
        <w:lastRenderedPageBreak/>
        <w:t>Hazard Log Summary</w:t>
      </w:r>
      <w:r w:rsidR="002C630F" w:rsidRPr="00175953">
        <w:rPr>
          <w:rFonts w:asciiTheme="minorHAnsi" w:hAnsiTheme="minorHAnsi" w:cstheme="minorBidi"/>
          <w:b/>
          <w:bCs/>
        </w:rPr>
        <w:t xml:space="preserve">: </w:t>
      </w:r>
      <w:r w:rsidRPr="00175953">
        <w:rPr>
          <w:rFonts w:asciiTheme="minorHAnsi" w:hAnsiTheme="minorHAnsi" w:cstheme="minorBidi"/>
        </w:rPr>
        <w:t>The NIR hazard log consolidates risks identified through clinical safety workshops, DPIA consultation, and design assurance reviews.</w:t>
      </w:r>
      <w:r w:rsidR="00BD5AF2" w:rsidRPr="00175953">
        <w:rPr>
          <w:rFonts w:asciiTheme="minorHAnsi" w:hAnsiTheme="minorHAnsi" w:cstheme="minorBidi"/>
        </w:rPr>
        <w:t xml:space="preserve"> </w:t>
      </w:r>
    </w:p>
    <w:p w14:paraId="4BB872CB" w14:textId="3AFE8892" w:rsidR="000C2D03" w:rsidRPr="00C464BA" w:rsidRDefault="00C464BA" w:rsidP="000C2D03">
      <w:pPr>
        <w:spacing w:line="276" w:lineRule="auto"/>
        <w:jc w:val="both"/>
        <w:rPr>
          <w:rFonts w:asciiTheme="minorHAnsi" w:hAnsiTheme="minorHAnsi" w:cstheme="minorBidi"/>
        </w:rPr>
      </w:pPr>
      <w:r w:rsidRPr="00C464BA">
        <w:rPr>
          <w:rFonts w:asciiTheme="minorHAnsi" w:hAnsiTheme="minorHAnsi" w:cstheme="minorBidi"/>
        </w:rPr>
        <w:t xml:space="preserve">Eleven </w:t>
      </w:r>
      <w:r w:rsidR="000C2D03" w:rsidRPr="00C464BA">
        <w:rPr>
          <w:rFonts w:asciiTheme="minorHAnsi" w:hAnsiTheme="minorHAnsi" w:cstheme="minorBidi"/>
        </w:rPr>
        <w:t xml:space="preserve">hazards have been identified, all assessed with residual risk ratings of </w:t>
      </w:r>
      <w:r w:rsidR="00A40BD4" w:rsidRPr="00C464BA">
        <w:rPr>
          <w:rFonts w:asciiTheme="minorHAnsi" w:hAnsiTheme="minorHAnsi" w:cstheme="minorBidi"/>
        </w:rPr>
        <w:t>2</w:t>
      </w:r>
      <w:r w:rsidR="000C2D03" w:rsidRPr="00C464BA">
        <w:rPr>
          <w:rFonts w:asciiTheme="minorHAnsi" w:hAnsiTheme="minorHAnsi" w:cstheme="minorBidi"/>
        </w:rPr>
        <w:t xml:space="preserve"> or lower, representing low or acceptable risk after the implementation of technical and organisational controls.</w:t>
      </w:r>
      <w:r w:rsidR="00BD5AF2" w:rsidRPr="00C464BA">
        <w:rPr>
          <w:rFonts w:asciiTheme="minorHAnsi" w:hAnsiTheme="minorHAnsi" w:cstheme="minorBidi"/>
        </w:rPr>
        <w:t xml:space="preserve"> </w:t>
      </w:r>
      <w:r w:rsidR="00BD5AF2" w:rsidRPr="00C464BA">
        <w:t>These 1</w:t>
      </w:r>
      <w:r w:rsidRPr="00C464BA">
        <w:t>1</w:t>
      </w:r>
      <w:r w:rsidR="00BD5AF2" w:rsidRPr="00C464BA">
        <w:t xml:space="preserve"> hazards were identified, assessed, and validated through structured workshops, clinical risk review meetings, and cross-reference with the DCB 0160 deployment assessment. </w:t>
      </w:r>
      <w:r w:rsidR="000C2D03" w:rsidRPr="00C464BA">
        <w:rPr>
          <w:rFonts w:asciiTheme="minorHAnsi" w:hAnsiTheme="minorHAnsi" w:cstheme="minorBidi"/>
        </w:rPr>
        <w:t>Key themes include data quality and metadata integrity, image retrieval reliability, user access governance, and dependency on supplier conformance with IHE and DICOM standards.</w:t>
      </w:r>
      <w:r w:rsidRPr="00C464BA">
        <w:rPr>
          <w:rFonts w:asciiTheme="minorHAnsi" w:hAnsiTheme="minorHAnsi" w:cstheme="minorBidi"/>
        </w:rPr>
        <w:t xml:space="preserve"> </w:t>
      </w:r>
      <w:r w:rsidRPr="00C464BA">
        <w:t>HAZ011 was introduced in February 2026 following further design review, to capture the risk of omission of imaging data due to HCID query restriction within the NIR Gateway.</w:t>
      </w:r>
    </w:p>
    <w:p w14:paraId="567B3234" w14:textId="2D76CBD4" w:rsidR="000C2D03" w:rsidRPr="00175953" w:rsidRDefault="000C2D03" w:rsidP="000C2D03">
      <w:pPr>
        <w:spacing w:line="276" w:lineRule="auto"/>
        <w:jc w:val="both"/>
        <w:rPr>
          <w:rFonts w:asciiTheme="minorHAnsi" w:hAnsiTheme="minorHAnsi" w:cstheme="minorBidi"/>
        </w:rPr>
      </w:pPr>
      <w:r w:rsidRPr="00175953">
        <w:rPr>
          <w:rFonts w:asciiTheme="minorHAnsi" w:hAnsiTheme="minorHAnsi" w:cstheme="minorBidi"/>
        </w:rPr>
        <w:t>No hazards remain with medium or high residual risk; all are under continuous monitoring through governance dashboards and safety reviews.</w:t>
      </w:r>
      <w:r w:rsidR="002C630F" w:rsidRPr="00175953">
        <w:rPr>
          <w:rFonts w:asciiTheme="minorHAnsi" w:hAnsiTheme="minorHAnsi" w:cstheme="minorBidi"/>
        </w:rPr>
        <w:t xml:space="preserve"> </w:t>
      </w:r>
      <w:r w:rsidR="00BD5AF2" w:rsidRPr="00175953">
        <w:t>No uncontrolled or unacceptable clinical safety risks remain at this stage of deployment.</w:t>
      </w:r>
    </w:p>
    <w:p w14:paraId="2A7BD38E" w14:textId="291F557C" w:rsidR="0034117B" w:rsidRPr="00B3622E" w:rsidRDefault="000C2D03" w:rsidP="009C00B6">
      <w:pPr>
        <w:spacing w:after="0" w:line="276" w:lineRule="auto"/>
        <w:jc w:val="both"/>
        <w:rPr>
          <w:rFonts w:asciiTheme="minorHAnsi" w:hAnsiTheme="minorHAnsi" w:cstheme="minorBidi"/>
        </w:rPr>
      </w:pPr>
      <w:r w:rsidRPr="00B3622E">
        <w:rPr>
          <w:rFonts w:asciiTheme="minorHAnsi" w:hAnsiTheme="minorHAnsi" w:cstheme="minorBidi"/>
        </w:rPr>
        <w:t>Based on the phased assurance activities, workshops, and review of hazard mitigations, the NIR system</w:t>
      </w:r>
      <w:r w:rsidR="003A2899" w:rsidRPr="00B3622E">
        <w:rPr>
          <w:rFonts w:asciiTheme="minorHAnsi" w:hAnsiTheme="minorHAnsi" w:cstheme="minorBidi"/>
        </w:rPr>
        <w:t>, as the implementation of the ability to query a patient's history and retrieve a patient's reports / images,</w:t>
      </w:r>
      <w:r w:rsidRPr="00B3622E">
        <w:rPr>
          <w:rFonts w:asciiTheme="minorHAnsi" w:hAnsiTheme="minorHAnsi" w:cstheme="minorBidi"/>
        </w:rPr>
        <w:t xml:space="preserve"> demonstrates an acceptable level of clinical risk in accordance with DCB 0129 principles. Ongoing governance, supplier assurance under DCB 0160, and continuous hazard review will maintain safety throughout further deployment </w:t>
      </w:r>
      <w:r w:rsidR="003A2899" w:rsidRPr="00B3622E">
        <w:rPr>
          <w:rFonts w:asciiTheme="minorHAnsi" w:hAnsiTheme="minorHAnsi" w:cstheme="minorBidi"/>
        </w:rPr>
        <w:t>iterations</w:t>
      </w:r>
      <w:r w:rsidRPr="00B3622E">
        <w:rPr>
          <w:rFonts w:asciiTheme="minorHAnsi" w:hAnsiTheme="minorHAnsi" w:cstheme="minorBidi"/>
        </w:rPr>
        <w:t>.</w:t>
      </w:r>
    </w:p>
    <w:p w14:paraId="593C6B05" w14:textId="3DC0789F" w:rsidR="008F7668" w:rsidRPr="00BD7FB4" w:rsidRDefault="009C00B6">
      <w:pPr>
        <w:spacing w:after="0"/>
        <w:textboxTightWrap w:val="none"/>
        <w:rPr>
          <w:rFonts w:cs="Arial"/>
          <w:b/>
          <w:bCs/>
          <w:color w:val="005EB8" w:themeColor="accent1"/>
          <w:spacing w:val="-14"/>
          <w:kern w:val="28"/>
          <w:sz w:val="42"/>
          <w:szCs w:val="32"/>
          <w14:ligatures w14:val="standardContextual"/>
        </w:rPr>
      </w:pPr>
      <w:r w:rsidRPr="00B3622E">
        <w:t>This onboarding model ensures that clinical safety assurance is based on active validation and governance oversight, rather than reliance on documentation alone.</w:t>
      </w:r>
      <w:r w:rsidR="008F7668" w:rsidRPr="00BD7FB4">
        <w:br w:type="page"/>
      </w:r>
    </w:p>
    <w:p w14:paraId="53878F68" w14:textId="6730E134" w:rsidR="008D5953" w:rsidRPr="003D0F0E" w:rsidRDefault="00B25BDF" w:rsidP="00105D26">
      <w:pPr>
        <w:pStyle w:val="Heading2"/>
      </w:pPr>
      <w:bookmarkStart w:id="10" w:name="_Toc214870510"/>
      <w:r w:rsidRPr="003D0F0E">
        <w:lastRenderedPageBreak/>
        <w:t>Introduction</w:t>
      </w:r>
      <w:bookmarkEnd w:id="10"/>
    </w:p>
    <w:p w14:paraId="6F64AE68" w14:textId="77777777"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Under the Health and Social Care Act 2012, all digital health systems used within NHS clinical settings are required to be developed and deployed in accordance with NHS Digital Safety Standards DCB 0129 (for manufacturers) and DCB 0160 (for deploying organisations). These standards ensure that health IT systems are designed, implemented, and maintained in a way that identifies and mitigates potential risks to patient safety. Compliance with DCB 0129 requires the creation of a formal Clinical Safety Case, supported by a Hazard Log, which collectively demonstrate that clinical risks have been managed to a level that is As Low As Reasonably Practicable (ALARP).</w:t>
      </w:r>
    </w:p>
    <w:p w14:paraId="4B1383E3" w14:textId="77777777"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The National Image Registry (NIR) is a core component of the NHS England Diagnostic Imaging Transformation Programme, developed to establish a national federated framework for the discovery, indexing, and secure access of imaging studies across NHS organisations. The NIR provides a centralised mechanism for identifying and retrieving diagnostic imaging data—supporting direct clinical care, operational efficiency, and future data-driven innovation.</w:t>
      </w:r>
    </w:p>
    <w:p w14:paraId="056436CC" w14:textId="6B26DB32"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This Clinical Safety Case has been prepared in accordance with DCB 0129: Clinical Risk Management – its Application in the Manufacture of Health IT Systems. It demonstrates that the NIR has been designed, developed, and validated in a manner that appropriately identifies, analyses, and controls potential clinical risks associated with its architecture, data flows, and operation.</w:t>
      </w:r>
      <w:r w:rsidR="00C36837">
        <w:rPr>
          <w:rFonts w:asciiTheme="minorHAnsi" w:hAnsiTheme="minorHAnsi" w:cstheme="minorBidi"/>
        </w:rPr>
        <w:t xml:space="preserve"> </w:t>
      </w:r>
      <w:r w:rsidR="00C36837" w:rsidRPr="00B3622E">
        <w:t>This safety case is supported by a structured onboarding and deployment model, as defined within the Clinical Risk Management Plan (CRMP), which operationalises DCB0160 requirements through formal governance, verification processes, and defined deployment guardrails.</w:t>
      </w:r>
    </w:p>
    <w:p w14:paraId="6A158719" w14:textId="77777777"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The purpose of this Safety Case is to:</w:t>
      </w:r>
    </w:p>
    <w:p w14:paraId="5341B966" w14:textId="395069B1" w:rsidR="00F33039" w:rsidRPr="00175953" w:rsidRDefault="00F33039" w:rsidP="00175953">
      <w:pPr>
        <w:pStyle w:val="ListParagraph"/>
        <w:numPr>
          <w:ilvl w:val="0"/>
          <w:numId w:val="22"/>
        </w:numPr>
        <w:spacing w:line="276" w:lineRule="auto"/>
        <w:jc w:val="both"/>
        <w:rPr>
          <w:rFonts w:asciiTheme="minorHAnsi" w:hAnsiTheme="minorHAnsi" w:cstheme="minorBidi"/>
          <w:color w:val="auto"/>
        </w:rPr>
      </w:pPr>
      <w:r w:rsidRPr="00175953">
        <w:rPr>
          <w:rFonts w:asciiTheme="minorHAnsi" w:hAnsiTheme="minorHAnsi" w:cstheme="minorBidi"/>
        </w:rPr>
        <w:t xml:space="preserve">Present the clinical safety justification for the NIR </w:t>
      </w:r>
      <w:r w:rsidRPr="00175953">
        <w:rPr>
          <w:rFonts w:asciiTheme="minorHAnsi" w:hAnsiTheme="minorHAnsi" w:cstheme="minorBidi"/>
          <w:color w:val="auto"/>
        </w:rPr>
        <w:t xml:space="preserve">across </w:t>
      </w:r>
      <w:r w:rsidR="003A2899" w:rsidRPr="00175953">
        <w:rPr>
          <w:rFonts w:asciiTheme="minorHAnsi" w:hAnsiTheme="minorHAnsi" w:cstheme="minorBidi"/>
          <w:color w:val="auto"/>
        </w:rPr>
        <w:t>the Discovery &amp; Report Retrieval and Image retrieval for the XCA endpoint</w:t>
      </w:r>
      <w:r w:rsidRPr="00175953">
        <w:rPr>
          <w:rFonts w:asciiTheme="minorHAnsi" w:hAnsiTheme="minorHAnsi" w:cstheme="minorBidi"/>
          <w:color w:val="auto"/>
        </w:rPr>
        <w:t>.</w:t>
      </w:r>
    </w:p>
    <w:p w14:paraId="101DD5C7" w14:textId="77777777" w:rsidR="00F33039" w:rsidRPr="00175953" w:rsidRDefault="00F33039" w:rsidP="00143DD5">
      <w:pPr>
        <w:pStyle w:val="ListParagraph"/>
        <w:numPr>
          <w:ilvl w:val="0"/>
          <w:numId w:val="22"/>
        </w:numPr>
        <w:spacing w:line="276" w:lineRule="auto"/>
        <w:jc w:val="both"/>
        <w:rPr>
          <w:rFonts w:asciiTheme="minorHAnsi" w:hAnsiTheme="minorHAnsi" w:cstheme="minorBidi"/>
        </w:rPr>
      </w:pPr>
      <w:r w:rsidRPr="00175953">
        <w:rPr>
          <w:rFonts w:asciiTheme="minorHAnsi" w:hAnsiTheme="minorHAnsi" w:cstheme="minorBidi"/>
        </w:rPr>
        <w:t>Summarise the outcomes of the hazard identification, risk assessment, and mitigation process undertaken by the NHS England Clinical Safety Team.</w:t>
      </w:r>
    </w:p>
    <w:p w14:paraId="603BF9EE" w14:textId="77777777" w:rsidR="00F33039" w:rsidRPr="00175953" w:rsidRDefault="00F33039" w:rsidP="00143DD5">
      <w:pPr>
        <w:pStyle w:val="ListParagraph"/>
        <w:numPr>
          <w:ilvl w:val="0"/>
          <w:numId w:val="22"/>
        </w:numPr>
        <w:spacing w:line="276" w:lineRule="auto"/>
        <w:jc w:val="both"/>
        <w:rPr>
          <w:rFonts w:asciiTheme="minorHAnsi" w:hAnsiTheme="minorHAnsi" w:cstheme="minorBidi"/>
        </w:rPr>
      </w:pPr>
      <w:r w:rsidRPr="00175953">
        <w:rPr>
          <w:rFonts w:asciiTheme="minorHAnsi" w:hAnsiTheme="minorHAnsi" w:cstheme="minorBidi"/>
        </w:rPr>
        <w:t>Provide evidence that residual clinical risks are ALARP.</w:t>
      </w:r>
    </w:p>
    <w:p w14:paraId="4D3E8501" w14:textId="3C8E5E11" w:rsidR="00F33039" w:rsidRPr="00175953" w:rsidRDefault="00F33039" w:rsidP="00143DD5">
      <w:pPr>
        <w:pStyle w:val="ListParagraph"/>
        <w:numPr>
          <w:ilvl w:val="0"/>
          <w:numId w:val="22"/>
        </w:numPr>
        <w:spacing w:line="276" w:lineRule="auto"/>
        <w:jc w:val="both"/>
        <w:rPr>
          <w:rFonts w:asciiTheme="minorHAnsi" w:hAnsiTheme="minorHAnsi" w:cstheme="minorBidi"/>
        </w:rPr>
      </w:pPr>
      <w:r w:rsidRPr="00175953">
        <w:rPr>
          <w:rFonts w:asciiTheme="minorHAnsi" w:hAnsiTheme="minorHAnsi" w:cstheme="minorBidi"/>
        </w:rPr>
        <w:t>Define the ongoing governance, monitoring, and review processes</w:t>
      </w:r>
      <w:r w:rsidR="00175953">
        <w:rPr>
          <w:rFonts w:asciiTheme="minorHAnsi" w:hAnsiTheme="minorHAnsi" w:cstheme="minorBidi"/>
        </w:rPr>
        <w:t>,</w:t>
      </w:r>
      <w:r w:rsidRPr="00175953">
        <w:rPr>
          <w:rFonts w:asciiTheme="minorHAnsi" w:hAnsiTheme="minorHAnsi" w:cstheme="minorBidi"/>
        </w:rPr>
        <w:t xml:space="preserve"> ensuring clinical safety is maintained through subsequent NIR </w:t>
      </w:r>
      <w:r w:rsidR="003A2899" w:rsidRPr="00175953">
        <w:rPr>
          <w:rFonts w:asciiTheme="minorHAnsi" w:hAnsiTheme="minorHAnsi" w:cstheme="minorBidi"/>
          <w:color w:val="auto"/>
        </w:rPr>
        <w:t>iterations</w:t>
      </w:r>
      <w:r w:rsidRPr="00175953">
        <w:rPr>
          <w:rFonts w:asciiTheme="minorHAnsi" w:hAnsiTheme="minorHAnsi" w:cstheme="minorBidi"/>
          <w:color w:val="auto"/>
        </w:rPr>
        <w:t>.</w:t>
      </w:r>
    </w:p>
    <w:p w14:paraId="753888EB" w14:textId="6353EAAE"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 xml:space="preserve">The NIR operates as a federated registry, not as a clinical image store. It indexes metadata and document references from local </w:t>
      </w:r>
      <w:r w:rsidR="000B4F22">
        <w:rPr>
          <w:rFonts w:asciiTheme="minorHAnsi" w:hAnsiTheme="minorHAnsi" w:cstheme="minorBidi"/>
        </w:rPr>
        <w:t>providers/ organisations</w:t>
      </w:r>
      <w:r w:rsidRPr="00175953">
        <w:rPr>
          <w:rFonts w:asciiTheme="minorHAnsi" w:hAnsiTheme="minorHAnsi" w:cstheme="minorBidi"/>
        </w:rPr>
        <w:t xml:space="preserve"> and suppliers that conform to NHS interoperability standards (e.g. IHE XDS-I, XCA, and MHDS). By doing so, it enables clinicians and systems to discover relevant imaging records across organisational boundaries without duplicating or centralising patient data.</w:t>
      </w:r>
    </w:p>
    <w:p w14:paraId="14E9929D" w14:textId="07A308F1" w:rsidR="00F33039" w:rsidRPr="00175953" w:rsidRDefault="00F33039" w:rsidP="00143DD5">
      <w:pPr>
        <w:pStyle w:val="ListParagraph"/>
        <w:numPr>
          <w:ilvl w:val="0"/>
          <w:numId w:val="23"/>
        </w:numPr>
        <w:spacing w:line="276" w:lineRule="auto"/>
        <w:jc w:val="both"/>
        <w:rPr>
          <w:rFonts w:asciiTheme="minorHAnsi" w:hAnsiTheme="minorHAnsi" w:cstheme="minorBidi"/>
        </w:rPr>
      </w:pPr>
      <w:r w:rsidRPr="00175953">
        <w:rPr>
          <w:rFonts w:asciiTheme="minorHAnsi" w:hAnsiTheme="minorHAnsi" w:cstheme="minorBidi"/>
        </w:rPr>
        <w:t xml:space="preserve">This </w:t>
      </w:r>
      <w:r w:rsidR="00A40BD4">
        <w:rPr>
          <w:rFonts w:asciiTheme="minorHAnsi" w:hAnsiTheme="minorHAnsi" w:cstheme="minorBidi"/>
        </w:rPr>
        <w:t xml:space="preserve">Clinical </w:t>
      </w:r>
      <w:r w:rsidRPr="00175953">
        <w:rPr>
          <w:rFonts w:asciiTheme="minorHAnsi" w:hAnsiTheme="minorHAnsi" w:cstheme="minorBidi"/>
        </w:rPr>
        <w:t>Safety Case Report (</w:t>
      </w:r>
      <w:r w:rsidR="00A40BD4">
        <w:rPr>
          <w:rFonts w:asciiTheme="minorHAnsi" w:hAnsiTheme="minorHAnsi" w:cstheme="minorBidi"/>
        </w:rPr>
        <w:t>CSCR</w:t>
      </w:r>
      <w:r w:rsidRPr="00175953">
        <w:rPr>
          <w:rFonts w:asciiTheme="minorHAnsi" w:hAnsiTheme="minorHAnsi" w:cstheme="minorBidi"/>
        </w:rPr>
        <w:t>) sits within a broader assurance framework that includes:</w:t>
      </w:r>
    </w:p>
    <w:p w14:paraId="242F8EF3" w14:textId="77777777" w:rsidR="00F33039" w:rsidRPr="00175953" w:rsidRDefault="00F33039" w:rsidP="00143DD5">
      <w:pPr>
        <w:pStyle w:val="ListParagraph"/>
        <w:numPr>
          <w:ilvl w:val="0"/>
          <w:numId w:val="23"/>
        </w:numPr>
        <w:spacing w:line="276" w:lineRule="auto"/>
        <w:jc w:val="both"/>
        <w:rPr>
          <w:rFonts w:asciiTheme="minorHAnsi" w:hAnsiTheme="minorHAnsi" w:cstheme="minorBidi"/>
        </w:rPr>
      </w:pPr>
      <w:r w:rsidRPr="00175953">
        <w:rPr>
          <w:rFonts w:asciiTheme="minorHAnsi" w:hAnsiTheme="minorHAnsi" w:cstheme="minorBidi"/>
        </w:rPr>
        <w:t>The NHS England Clinical Safety Management System for programme-level governance.</w:t>
      </w:r>
    </w:p>
    <w:p w14:paraId="33E51C05" w14:textId="1E747A17" w:rsidR="00F33039" w:rsidRPr="00175953" w:rsidRDefault="00F33039" w:rsidP="00143DD5">
      <w:pPr>
        <w:pStyle w:val="ListParagraph"/>
        <w:numPr>
          <w:ilvl w:val="0"/>
          <w:numId w:val="23"/>
        </w:numPr>
        <w:spacing w:line="276" w:lineRule="auto"/>
        <w:jc w:val="both"/>
        <w:rPr>
          <w:rFonts w:asciiTheme="minorHAnsi" w:hAnsiTheme="minorHAnsi" w:cstheme="minorBidi"/>
        </w:rPr>
      </w:pPr>
      <w:r w:rsidRPr="00175953">
        <w:rPr>
          <w:rFonts w:asciiTheme="minorHAnsi" w:hAnsiTheme="minorHAnsi" w:cstheme="minorBidi"/>
        </w:rPr>
        <w:lastRenderedPageBreak/>
        <w:t>The DCB 0160 Supplier Safety Cases developed by technology partners and vendors participating in the NIR ecosystem.</w:t>
      </w:r>
    </w:p>
    <w:p w14:paraId="7770B8B1" w14:textId="77777777" w:rsidR="00F33039" w:rsidRPr="00175953" w:rsidRDefault="00F33039" w:rsidP="00F33039">
      <w:pPr>
        <w:spacing w:line="276" w:lineRule="auto"/>
        <w:jc w:val="both"/>
        <w:rPr>
          <w:rFonts w:asciiTheme="minorHAnsi" w:hAnsiTheme="minorHAnsi" w:cstheme="minorBidi"/>
        </w:rPr>
      </w:pPr>
      <w:r w:rsidRPr="00175953">
        <w:rPr>
          <w:rFonts w:asciiTheme="minorHAnsi" w:hAnsiTheme="minorHAnsi" w:cstheme="minorBidi"/>
        </w:rPr>
        <w:t>Complementary documentation including the NIR DPIA, System Design and Architecture documentation, Observability and Logging Strategy, and Reporting and Governance Framework.</w:t>
      </w:r>
    </w:p>
    <w:p w14:paraId="67BBAA57" w14:textId="6177477F" w:rsidR="00933926" w:rsidRPr="00175953" w:rsidRDefault="00F33039" w:rsidP="00B31ABE">
      <w:pPr>
        <w:spacing w:line="276" w:lineRule="auto"/>
        <w:jc w:val="both"/>
        <w:rPr>
          <w:rFonts w:asciiTheme="minorHAnsi" w:hAnsiTheme="minorHAnsi" w:cstheme="minorBidi"/>
        </w:rPr>
      </w:pPr>
      <w:r w:rsidRPr="00175953">
        <w:rPr>
          <w:rFonts w:asciiTheme="minorHAnsi" w:hAnsiTheme="minorHAnsi" w:cstheme="minorBidi"/>
        </w:rPr>
        <w:t>The document is structured to provide a clear trace from clinical safety governance through to hazard identification, control implementation, and justification for the residual safety position.</w:t>
      </w:r>
      <w:r w:rsidR="00434A9D" w:rsidRPr="00175953">
        <w:rPr>
          <w:rFonts w:asciiTheme="minorHAnsi" w:hAnsiTheme="minorHAnsi" w:cstheme="minorBidi"/>
        </w:rPr>
        <w:t xml:space="preserve"> </w:t>
      </w:r>
    </w:p>
    <w:p w14:paraId="5E9467E9" w14:textId="24E3A278" w:rsidR="0029143C" w:rsidRPr="00BD7FB4" w:rsidRDefault="0029143C" w:rsidP="00105D26">
      <w:pPr>
        <w:pStyle w:val="Heading2"/>
      </w:pPr>
      <w:bookmarkStart w:id="11" w:name="_Toc214870511"/>
      <w:r w:rsidRPr="00BD7FB4">
        <w:t>Background</w:t>
      </w:r>
      <w:bookmarkEnd w:id="11"/>
      <w:r w:rsidRPr="00BD7FB4">
        <w:t xml:space="preserve"> </w:t>
      </w:r>
    </w:p>
    <w:p w14:paraId="4C6D27BA" w14:textId="4AB6D274" w:rsidR="00296FF3" w:rsidRPr="00FE7D06" w:rsidRDefault="00296FF3" w:rsidP="00FE7D06">
      <w:r w:rsidRPr="00FE7D06">
        <w:t>The National Image Registry (NIR) forms part of the NHS England Diagnostic Imaging Transformation Programme, which aims to modernise and standardise diagnostic imaging data sharing across the NHS. The NIR</w:t>
      </w:r>
      <w:r w:rsidR="00D76D5C">
        <w:t xml:space="preserve">, </w:t>
      </w:r>
      <w:r w:rsidR="00CA4302">
        <w:t>building</w:t>
      </w:r>
      <w:r w:rsidR="00D76D5C" w:rsidRPr="00D76D5C">
        <w:t xml:space="preserve"> on the digital assets of the </w:t>
      </w:r>
      <w:hyperlink r:id="rId35" w:history="1">
        <w:r w:rsidR="00D76D5C" w:rsidRPr="00D76D5C">
          <w:rPr>
            <w:rStyle w:val="Hyperlink"/>
            <w:rFonts w:ascii="Arial" w:hAnsi="Arial"/>
          </w:rPr>
          <w:t>National Record Locator</w:t>
        </w:r>
      </w:hyperlink>
      <w:r w:rsidR="00D76D5C" w:rsidRPr="00D76D5C">
        <w:t> (NRL),</w:t>
      </w:r>
      <w:r w:rsidRPr="00FE7D06">
        <w:t xml:space="preserve"> provides a national federated registry of imaging metadata, enabling the discovery and retrieval of imaging studies across organisational boundaries to support safe, timely, and informed clinical decision-making.</w:t>
      </w:r>
    </w:p>
    <w:p w14:paraId="1299E131" w14:textId="5E592181" w:rsidR="00296FF3" w:rsidRPr="00FE7D06" w:rsidRDefault="00296FF3" w:rsidP="00FE7D06">
      <w:r w:rsidRPr="00FE7D06">
        <w:t xml:space="preserve">Historically, diagnostic imaging within the NHS has been managed through regional Picture Archiving and Communication Systems (PACS) and Vendor Neutral Archives (VNAs), resulting in fragmented data access and limited interoperability between networks. Clinicians have often faced delays or incomplete information when attempting to access prior imaging performed at other trusts. The NIR addresses this by creating a single federated point of discovery, built on open standards such as </w:t>
      </w:r>
      <w:r w:rsidR="00F8631D">
        <w:t>I</w:t>
      </w:r>
      <w:r w:rsidR="00F8631D" w:rsidRPr="00F8631D">
        <w:t>ntegrating the Healthcare Enterprise (IHE) XDS and Cross-Community Access (XCA) profiles.</w:t>
      </w:r>
    </w:p>
    <w:p w14:paraId="3460DE62" w14:textId="1B3F56ED" w:rsidR="00296FF3" w:rsidRPr="004C275C" w:rsidRDefault="00296FF3" w:rsidP="00FE7D06">
      <w:pPr>
        <w:rPr>
          <w:b/>
          <w:bCs/>
        </w:rPr>
      </w:pPr>
      <w:r w:rsidRPr="004C275C">
        <w:rPr>
          <w:b/>
          <w:bCs/>
        </w:rPr>
        <w:t>NIR Delivery</w:t>
      </w:r>
      <w:r w:rsidR="004C275C" w:rsidRPr="004C275C">
        <w:rPr>
          <w:b/>
          <w:bCs/>
        </w:rPr>
        <w:t xml:space="preserve">: </w:t>
      </w:r>
    </w:p>
    <w:p w14:paraId="03401751" w14:textId="2D0AD9F2" w:rsidR="00296FF3" w:rsidRPr="00FE7D06" w:rsidRDefault="00296FF3" w:rsidP="00FE7D06">
      <w:r w:rsidRPr="00FE7D06">
        <w:t xml:space="preserve">The NIR is being delivered through a series of six structured </w:t>
      </w:r>
      <w:r w:rsidR="000A160B">
        <w:t>milestones</w:t>
      </w:r>
      <w:r w:rsidRPr="00FE7D06">
        <w:t>, allowing progressive assurance, stakeholder engagement, and incremental validation of safety controls:</w:t>
      </w:r>
    </w:p>
    <w:p w14:paraId="4CCB3D5D" w14:textId="46CECE57" w:rsidR="00296FF3" w:rsidRPr="00FE7D06" w:rsidRDefault="000A160B" w:rsidP="00143DD5">
      <w:pPr>
        <w:pStyle w:val="ListParagraph"/>
        <w:numPr>
          <w:ilvl w:val="0"/>
          <w:numId w:val="24"/>
        </w:numPr>
      </w:pPr>
      <w:r>
        <w:rPr>
          <w:b/>
          <w:bCs/>
        </w:rPr>
        <w:t>Milestone</w:t>
      </w:r>
      <w:r w:rsidR="00296FF3" w:rsidRPr="002C630F">
        <w:rPr>
          <w:b/>
          <w:bCs/>
        </w:rPr>
        <w:t xml:space="preserve"> 1 – Foundation and Early Adoption</w:t>
      </w:r>
      <w:r w:rsidR="00A40BD4">
        <w:rPr>
          <w:b/>
          <w:bCs/>
        </w:rPr>
        <w:t xml:space="preserve"> (Scope of this assessment)</w:t>
      </w:r>
      <w:r w:rsidR="00296FF3" w:rsidRPr="002C630F">
        <w:rPr>
          <w:b/>
          <w:bCs/>
        </w:rPr>
        <w:t>:</w:t>
      </w:r>
      <w:r w:rsidR="00296FF3" w:rsidRPr="00FE7D06">
        <w:br/>
        <w:t>Establishes the core NIR architecture and registry gateway</w:t>
      </w:r>
      <w:r w:rsidR="0016082B">
        <w:t xml:space="preserve"> as </w:t>
      </w:r>
      <w:r w:rsidR="00175953">
        <w:t>P</w:t>
      </w:r>
      <w:r w:rsidR="0016082B">
        <w:t xml:space="preserve">rivate </w:t>
      </w:r>
      <w:r w:rsidR="00175953">
        <w:t>B</w:t>
      </w:r>
      <w:r w:rsidR="0016082B">
        <w:t>eta</w:t>
      </w:r>
      <w:r w:rsidR="00296FF3" w:rsidRPr="00FE7D06">
        <w:t xml:space="preserve">. Connects the first set of early-adopter </w:t>
      </w:r>
      <w:r w:rsidR="000B4F22">
        <w:t>providers / organisations</w:t>
      </w:r>
      <w:r w:rsidR="00296FF3" w:rsidRPr="00FE7D06">
        <w:t xml:space="preserve"> to prove technical feasibility, metadata conformance, and baseline governance arrangements.</w:t>
      </w:r>
    </w:p>
    <w:p w14:paraId="2BFE08CF" w14:textId="086B3CF1" w:rsidR="00296FF3" w:rsidRPr="00FE7D06" w:rsidRDefault="000A160B" w:rsidP="00143DD5">
      <w:pPr>
        <w:pStyle w:val="ListParagraph"/>
        <w:numPr>
          <w:ilvl w:val="0"/>
          <w:numId w:val="24"/>
        </w:numPr>
      </w:pPr>
      <w:r>
        <w:rPr>
          <w:b/>
          <w:bCs/>
        </w:rPr>
        <w:t>Milestone</w:t>
      </w:r>
      <w:r w:rsidR="00296FF3" w:rsidRPr="002C630F">
        <w:rPr>
          <w:b/>
          <w:bCs/>
        </w:rPr>
        <w:t xml:space="preserve"> 2 – Architecture Validation and Standards Alignment:</w:t>
      </w:r>
      <w:r w:rsidR="00296FF3" w:rsidRPr="002C630F">
        <w:rPr>
          <w:b/>
          <w:bCs/>
        </w:rPr>
        <w:br/>
      </w:r>
      <w:r w:rsidR="00296FF3" w:rsidRPr="00FE7D06">
        <w:t>Expands integration testing with additional regional networks. Focuses on validating interoperability across suppliers, refining IHE profile conformance, and incorporating lessons from initial safety and performance evaluations.</w:t>
      </w:r>
    </w:p>
    <w:p w14:paraId="4BA4A685" w14:textId="4719FE08" w:rsidR="00296FF3" w:rsidRPr="00FE7D06" w:rsidRDefault="000A160B" w:rsidP="00143DD5">
      <w:pPr>
        <w:pStyle w:val="ListParagraph"/>
        <w:numPr>
          <w:ilvl w:val="0"/>
          <w:numId w:val="24"/>
        </w:numPr>
      </w:pPr>
      <w:r>
        <w:rPr>
          <w:b/>
          <w:bCs/>
        </w:rPr>
        <w:t>Milestone</w:t>
      </w:r>
      <w:r w:rsidR="00296FF3" w:rsidRPr="002C630F">
        <w:rPr>
          <w:b/>
          <w:bCs/>
        </w:rPr>
        <w:t xml:space="preserve"> 3 – Enhanced Observability and Error Handling:</w:t>
      </w:r>
      <w:r w:rsidR="00296FF3" w:rsidRPr="00FE7D06">
        <w:br/>
        <w:t xml:space="preserve">Introduces central monitoring, structured event logging, and a national error-reporting dashboard. These enhancements improve </w:t>
      </w:r>
      <w:r w:rsidR="00580498">
        <w:t xml:space="preserve">the </w:t>
      </w:r>
      <w:r w:rsidR="00296FF3" w:rsidRPr="00FE7D06">
        <w:t>traceability of data transactions and support proactive detection of metadata or retrieval issues.</w:t>
      </w:r>
    </w:p>
    <w:p w14:paraId="06951470" w14:textId="0D0E0323" w:rsidR="00296FF3" w:rsidRPr="00FE7D06" w:rsidRDefault="000A160B" w:rsidP="00143DD5">
      <w:pPr>
        <w:pStyle w:val="ListParagraph"/>
        <w:numPr>
          <w:ilvl w:val="0"/>
          <w:numId w:val="24"/>
        </w:numPr>
      </w:pPr>
      <w:r>
        <w:rPr>
          <w:b/>
          <w:bCs/>
        </w:rPr>
        <w:t>Milestone</w:t>
      </w:r>
      <w:r w:rsidR="00296FF3" w:rsidRPr="002C630F">
        <w:rPr>
          <w:b/>
          <w:bCs/>
        </w:rPr>
        <w:t xml:space="preserve"> 4 – Security, Identity and Access Control Strengthening:</w:t>
      </w:r>
      <w:r w:rsidR="00296FF3" w:rsidRPr="00FE7D06">
        <w:br/>
        <w:t>Implements enhanced identity management, audit logging, and mutual-TLS controls. Confirms that authentication, authorisation, and access logging mechanisms meet NHS England information-governance and safety requirements.</w:t>
      </w:r>
    </w:p>
    <w:p w14:paraId="203DB12E" w14:textId="706606D7" w:rsidR="00296FF3" w:rsidRPr="00FE7D06" w:rsidRDefault="000A160B" w:rsidP="00143DD5">
      <w:pPr>
        <w:pStyle w:val="ListParagraph"/>
        <w:numPr>
          <w:ilvl w:val="0"/>
          <w:numId w:val="24"/>
        </w:numPr>
      </w:pPr>
      <w:r>
        <w:rPr>
          <w:b/>
          <w:bCs/>
        </w:rPr>
        <w:t>Milestone</w:t>
      </w:r>
      <w:r w:rsidR="00296FF3" w:rsidRPr="002C630F">
        <w:rPr>
          <w:b/>
          <w:bCs/>
        </w:rPr>
        <w:t xml:space="preserve"> 5 – Supplier Engagement and Network Scaling:</w:t>
      </w:r>
      <w:r w:rsidR="00296FF3" w:rsidRPr="002C630F">
        <w:rPr>
          <w:b/>
          <w:bCs/>
        </w:rPr>
        <w:br/>
      </w:r>
      <w:r w:rsidR="00296FF3" w:rsidRPr="00FE7D06">
        <w:t xml:space="preserve">Broadens participation to include all major PACS and VNA suppliers through the DCB </w:t>
      </w:r>
      <w:r w:rsidR="00296FF3" w:rsidRPr="00FE7D06">
        <w:lastRenderedPageBreak/>
        <w:t>0160 assurance pathway. Focuses on consistent supplier onboarding, conformance testing, and alignment of local SOPs with national safety expectations.</w:t>
      </w:r>
    </w:p>
    <w:p w14:paraId="79C2F6CB" w14:textId="465EFD0C" w:rsidR="00296FF3" w:rsidRPr="00FE7D06" w:rsidRDefault="000A160B" w:rsidP="00143DD5">
      <w:pPr>
        <w:pStyle w:val="ListParagraph"/>
        <w:numPr>
          <w:ilvl w:val="0"/>
          <w:numId w:val="24"/>
        </w:numPr>
      </w:pPr>
      <w:r>
        <w:rPr>
          <w:b/>
          <w:bCs/>
        </w:rPr>
        <w:t>Milestone</w:t>
      </w:r>
      <w:r w:rsidR="00296FF3" w:rsidRPr="002C630F">
        <w:rPr>
          <w:b/>
          <w:bCs/>
        </w:rPr>
        <w:t xml:space="preserve"> 6 – National Rollout and Operational Assurance:</w:t>
      </w:r>
      <w:r w:rsidR="00296FF3" w:rsidRPr="00FE7D06">
        <w:br/>
        <w:t xml:space="preserve">Completes nationwide onboarding of </w:t>
      </w:r>
      <w:r w:rsidR="000B4F22">
        <w:t>providers / organisations</w:t>
      </w:r>
      <w:r w:rsidR="00296FF3" w:rsidRPr="00FE7D06">
        <w:t xml:space="preserve">, finalises operational governance structures, and transitions NIR into a live service with ongoing monitoring and clinical safety review. </w:t>
      </w:r>
    </w:p>
    <w:p w14:paraId="5257DE9B" w14:textId="41991B7E" w:rsidR="004C275C" w:rsidRDefault="00F639F0" w:rsidP="00FE7D06">
      <w:r w:rsidRPr="00F639F0">
        <w:t>During</w:t>
      </w:r>
      <w:r w:rsidR="000A160B">
        <w:t xml:space="preserve"> Private Beta</w:t>
      </w:r>
      <w:r w:rsidR="000A160B" w:rsidRPr="00175953">
        <w:t>,</w:t>
      </w:r>
      <w:r w:rsidRPr="00175953">
        <w:t xml:space="preserve"> </w:t>
      </w:r>
      <w:r w:rsidR="003A2899" w:rsidRPr="00175953">
        <w:rPr>
          <w:rFonts w:asciiTheme="minorHAnsi" w:hAnsiTheme="minorHAnsi" w:cstheme="minorBidi"/>
          <w:color w:val="auto"/>
          <w:sz w:val="22"/>
          <w:szCs w:val="22"/>
        </w:rPr>
        <w:t>Discovery &amp; Report Retrieval and Image retrieval for the XCA endpoint</w:t>
      </w:r>
      <w:r w:rsidRPr="00175953">
        <w:rPr>
          <w:color w:val="auto"/>
        </w:rPr>
        <w:t xml:space="preserve">, the NIR uses these IHE standards to support </w:t>
      </w:r>
      <w:r w:rsidRPr="00F639F0">
        <w:t xml:space="preserve">image registration, discovery, and retrieval across multiple connected </w:t>
      </w:r>
      <w:r w:rsidR="000B4F22">
        <w:t>providers / organisations</w:t>
      </w:r>
      <w:r w:rsidRPr="00F639F0">
        <w:t xml:space="preserve">. Alignment with newer FHIR-based interoperability models, such as the Metadata Handling and Discovery Service (MHDS), is planned for future </w:t>
      </w:r>
      <w:r w:rsidR="003A2899">
        <w:t>iterations</w:t>
      </w:r>
      <w:r w:rsidRPr="00F639F0">
        <w:t xml:space="preserve"> once supporting infrastructure and governance frameworks are in place.</w:t>
      </w:r>
      <w:r w:rsidR="000A160B">
        <w:t xml:space="preserve"> See the Background section for details.</w:t>
      </w:r>
    </w:p>
    <w:p w14:paraId="4782B5B8" w14:textId="55A369A1" w:rsidR="00296FF3" w:rsidRPr="004C275C" w:rsidRDefault="00296FF3" w:rsidP="00FE7D06">
      <w:pPr>
        <w:rPr>
          <w:b/>
          <w:bCs/>
        </w:rPr>
      </w:pPr>
      <w:r w:rsidRPr="004C275C">
        <w:rPr>
          <w:b/>
          <w:bCs/>
        </w:rPr>
        <w:t>Clinical Safety Oversight</w:t>
      </w:r>
    </w:p>
    <w:p w14:paraId="7C8223F0" w14:textId="29084355" w:rsidR="00296FF3" w:rsidRPr="00FE7D06" w:rsidRDefault="00296FF3" w:rsidP="00FE7D06">
      <w:r w:rsidRPr="00FE7D06">
        <w:t xml:space="preserve">Clinical safety assurance has been embedded throughout all </w:t>
      </w:r>
      <w:r w:rsidR="003A2899">
        <w:t>iterations</w:t>
      </w:r>
      <w:r w:rsidRPr="00FE7D06">
        <w:t>, under the leadership of the NHS England Clinical Safety Officer (CSO) and the programme’s Clinical Safety Team. Two formal Clinical Safety Workshops were convened to identify, review, and validate hazards and mitigations, supported by continuous hazard log maintenance and design assurance reviews.</w:t>
      </w:r>
    </w:p>
    <w:p w14:paraId="27A9B50F" w14:textId="77777777" w:rsidR="00296FF3" w:rsidRPr="00FE7D06" w:rsidRDefault="00296FF3" w:rsidP="00FE7D06">
      <w:r w:rsidRPr="00FE7D06">
        <w:t>Parallel DCB 0160 safety case activities have been conducted with all connected suppliers and regional networks to ensure interoperating systems uphold equivalent standards of clinical safety governance. Supplier evidence, test results, and audit findings inform the aggregated NIR safety position.</w:t>
      </w:r>
    </w:p>
    <w:p w14:paraId="610AB1D2" w14:textId="1138A72E" w:rsidR="00187738" w:rsidRDefault="00296FF3" w:rsidP="00234254">
      <w:r w:rsidRPr="00FE7D06">
        <w:t>In preparing this DCB 0129 Safety Case, evidence from ten key programme documents—including the NIR DPIA, System Design Specification, Observability &amp; Logging Strategy, Error Handling Framework, and Reporting &amp; Governance Dashboard—has been reviewed to substantiate the safety justification and conclusions presented herein.</w:t>
      </w:r>
    </w:p>
    <w:p w14:paraId="307480C8" w14:textId="77777777" w:rsidR="00175953" w:rsidRPr="00187738" w:rsidRDefault="00175953" w:rsidP="00234254">
      <w:pPr>
        <w:rPr>
          <w:rFonts w:asciiTheme="minorHAnsi" w:hAnsiTheme="minorHAnsi" w:cstheme="minorHAnsi"/>
          <w:sz w:val="22"/>
          <w:szCs w:val="22"/>
        </w:rPr>
      </w:pPr>
    </w:p>
    <w:p w14:paraId="30AE22FB" w14:textId="77777777" w:rsidR="005572E2" w:rsidRPr="005572E2" w:rsidRDefault="005572E2" w:rsidP="00105D26">
      <w:pPr>
        <w:pStyle w:val="Heading2"/>
      </w:pPr>
      <w:bookmarkStart w:id="12" w:name="_Toc214870512"/>
      <w:r w:rsidRPr="005572E2">
        <w:t>Scope of Assessment</w:t>
      </w:r>
      <w:bookmarkEnd w:id="12"/>
    </w:p>
    <w:p w14:paraId="18158377" w14:textId="22A3FFA4" w:rsidR="00F4082E" w:rsidRPr="00175953" w:rsidRDefault="005572E2" w:rsidP="000A160B">
      <w:r w:rsidRPr="005572E2">
        <w:t xml:space="preserve">This </w:t>
      </w:r>
      <w:r w:rsidRPr="00CA4302">
        <w:t xml:space="preserve">Clinical Safety Case Report (SCPR) covers the National Image Registry (NIR) as developed and managed under the NHS England Diagnostic Imaging Transformation </w:t>
      </w:r>
      <w:r w:rsidRPr="0088086A">
        <w:t xml:space="preserve">Programme. The assessment has been undertaken in accordance with the requirements of DCB 0129 and considers the </w:t>
      </w:r>
      <w:r w:rsidRPr="00175953">
        <w:t xml:space="preserve">NIR </w:t>
      </w:r>
      <w:r w:rsidRPr="00175953">
        <w:rPr>
          <w:color w:val="auto"/>
        </w:rPr>
        <w:t xml:space="preserve">as a </w:t>
      </w:r>
      <w:r w:rsidRPr="00175953">
        <w:rPr>
          <w:i/>
          <w:iCs/>
          <w:color w:val="auto"/>
        </w:rPr>
        <w:t>manufactured health IT system</w:t>
      </w:r>
      <w:r w:rsidRPr="00175953">
        <w:rPr>
          <w:color w:val="auto"/>
        </w:rPr>
        <w:t xml:space="preserve"> forming part of a federated national service for diagnostic imaging discovery.</w:t>
      </w:r>
      <w:r w:rsidR="00556770" w:rsidRPr="00175953">
        <w:rPr>
          <w:color w:val="auto"/>
        </w:rPr>
        <w:t xml:space="preserve"> For clarity, </w:t>
      </w:r>
      <w:r w:rsidR="003A2899" w:rsidRPr="00175953">
        <w:rPr>
          <w:rFonts w:asciiTheme="minorHAnsi" w:hAnsiTheme="minorHAnsi" w:cstheme="minorBidi"/>
          <w:color w:val="auto"/>
        </w:rPr>
        <w:t>Discovery &amp; Report Retrieval and Image retrieval for the XCA endpoint</w:t>
      </w:r>
      <w:r w:rsidR="003A2899" w:rsidRPr="00175953">
        <w:rPr>
          <w:color w:val="auto"/>
        </w:rPr>
        <w:t xml:space="preserve"> </w:t>
      </w:r>
      <w:r w:rsidR="00556770" w:rsidRPr="00175953">
        <w:rPr>
          <w:color w:val="auto"/>
        </w:rPr>
        <w:t xml:space="preserve">represents the foundational build and early-adopter validation of the NIR, while </w:t>
      </w:r>
      <w:r w:rsidR="003A2899" w:rsidRPr="00175953">
        <w:rPr>
          <w:color w:val="auto"/>
        </w:rPr>
        <w:t xml:space="preserve">further iterations of development will be for </w:t>
      </w:r>
      <w:r w:rsidR="00556770" w:rsidRPr="00175953">
        <w:rPr>
          <w:color w:val="auto"/>
        </w:rPr>
        <w:t>the full national rollout and operational assurance phase</w:t>
      </w:r>
      <w:r w:rsidR="00556770" w:rsidRPr="00175953">
        <w:t xml:space="preserve">. Detailed descriptions of </w:t>
      </w:r>
      <w:r w:rsidR="00F4082E" w:rsidRPr="00175953">
        <w:t>all</w:t>
      </w:r>
      <w:r w:rsidR="00556770" w:rsidRPr="00175953">
        <w:t xml:space="preserve"> </w:t>
      </w:r>
      <w:r w:rsidR="00F4082E" w:rsidRPr="00175953">
        <w:t>iterations of NIR are included in the NIR Solutions Milestones:</w:t>
      </w:r>
    </w:p>
    <w:p w14:paraId="67C0773E" w14:textId="1F96C4E6" w:rsidR="00F4082E" w:rsidRDefault="00F4082E" w:rsidP="000A160B">
      <w:hyperlink r:id="rId36" w:history="1">
        <w:r w:rsidRPr="00041273">
          <w:rPr>
            <w:rStyle w:val="Hyperlink"/>
            <w:rFonts w:ascii="Arial" w:hAnsi="Arial"/>
          </w:rPr>
          <w:t>https://nhsd-confluence.digital.nhs.uk/spaces/CLP/pages/1102719581/NHSE+National+Imaging+Registry+NIR+Solution+Milestones</w:t>
        </w:r>
      </w:hyperlink>
    </w:p>
    <w:p w14:paraId="2380C3B0" w14:textId="1097FC9D" w:rsidR="005572E2" w:rsidRDefault="005572E2" w:rsidP="000A160B"/>
    <w:p w14:paraId="1DDFFBE0" w14:textId="6B76EEF6" w:rsidR="005572E2" w:rsidRPr="005572E2" w:rsidRDefault="005572E2" w:rsidP="00105D26">
      <w:pPr>
        <w:pStyle w:val="Heading2"/>
      </w:pPr>
      <w:bookmarkStart w:id="13" w:name="_Toc214870513"/>
      <w:r w:rsidRPr="005572E2">
        <w:t>Purpose and Boundaries</w:t>
      </w:r>
      <w:bookmarkEnd w:id="13"/>
    </w:p>
    <w:p w14:paraId="34CE780C" w14:textId="2E177963" w:rsidR="005572E2" w:rsidRPr="00175953" w:rsidRDefault="005572E2" w:rsidP="000A160B">
      <w:pPr>
        <w:rPr>
          <w:color w:val="auto"/>
        </w:rPr>
      </w:pPr>
      <w:r w:rsidRPr="005572E2">
        <w:t xml:space="preserve">The </w:t>
      </w:r>
      <w:r w:rsidRPr="00CA4302">
        <w:t>scope of this Clinical Safety Case is to provide assurance that the design, development, and deployment of the NIR across</w:t>
      </w:r>
      <w:r w:rsidR="00F4082E">
        <w:t xml:space="preserve"> </w:t>
      </w:r>
      <w:r w:rsidR="00F4082E" w:rsidRPr="00175953">
        <w:rPr>
          <w:color w:val="auto"/>
        </w:rPr>
        <w:t xml:space="preserve">the </w:t>
      </w:r>
      <w:r w:rsidR="00F4082E" w:rsidRPr="00175953">
        <w:rPr>
          <w:rFonts w:asciiTheme="minorHAnsi" w:hAnsiTheme="minorHAnsi" w:cstheme="minorBidi"/>
          <w:color w:val="auto"/>
        </w:rPr>
        <w:t xml:space="preserve">Discovery &amp; Report Retrieval and Image retrieval for </w:t>
      </w:r>
      <w:r w:rsidR="00F4082E" w:rsidRPr="00175953">
        <w:rPr>
          <w:rFonts w:asciiTheme="minorHAnsi" w:hAnsiTheme="minorHAnsi" w:cstheme="minorBidi"/>
          <w:color w:val="auto"/>
        </w:rPr>
        <w:lastRenderedPageBreak/>
        <w:t>the XCA endpoint,</w:t>
      </w:r>
      <w:r w:rsidR="00F4082E" w:rsidRPr="00175953">
        <w:rPr>
          <w:color w:val="auto"/>
        </w:rPr>
        <w:t xml:space="preserve"> </w:t>
      </w:r>
      <w:r w:rsidRPr="00175953">
        <w:rPr>
          <w:color w:val="auto"/>
        </w:rPr>
        <w:t>have been completed in a manner that appropriately identifies and mitigates clinical safety risks.</w:t>
      </w:r>
    </w:p>
    <w:p w14:paraId="6FE03C9F" w14:textId="77777777" w:rsidR="005572E2" w:rsidRPr="005572E2" w:rsidRDefault="005572E2" w:rsidP="000A160B">
      <w:r w:rsidRPr="00CA4302">
        <w:t>The NIR acts as a federated image registry rather than a repository of imaging data. It indexes and manages metadata that enables users and systems to locate, reference, and retrieve diagnostic imaging studies from distributed sources</w:t>
      </w:r>
      <w:r w:rsidRPr="005572E2">
        <w:t>. Clinical images remain stored within local or regional Picture Archiving and Communication Systems (PACS) and Vendor Neutral Archives (VNAs).</w:t>
      </w:r>
    </w:p>
    <w:p w14:paraId="08829EEB" w14:textId="77777777" w:rsidR="005572E2" w:rsidRPr="000A160B" w:rsidRDefault="005572E2" w:rsidP="000A160B">
      <w:pPr>
        <w:rPr>
          <w:rFonts w:asciiTheme="minorHAnsi" w:hAnsiTheme="minorHAnsi" w:cstheme="minorHAnsi"/>
        </w:rPr>
      </w:pPr>
      <w:r w:rsidRPr="000A160B">
        <w:rPr>
          <w:rFonts w:asciiTheme="minorHAnsi" w:hAnsiTheme="minorHAnsi" w:cstheme="minorHAnsi"/>
        </w:rPr>
        <w:t>The assessment encompasses:</w:t>
      </w:r>
    </w:p>
    <w:p w14:paraId="16175A4A" w14:textId="7777777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rPr>
        <w:t xml:space="preserve">The </w:t>
      </w:r>
      <w:r w:rsidRPr="000A160B">
        <w:rPr>
          <w:rFonts w:asciiTheme="minorHAnsi" w:hAnsiTheme="minorHAnsi" w:cstheme="minorHAnsi"/>
          <w:b/>
          <w:bCs/>
        </w:rPr>
        <w:t>NIR Core Platform</w:t>
      </w:r>
      <w:r w:rsidRPr="000A160B">
        <w:rPr>
          <w:rFonts w:asciiTheme="minorHAnsi" w:hAnsiTheme="minorHAnsi" w:cstheme="minorHAnsi"/>
        </w:rPr>
        <w:t xml:space="preserve"> components (Registry Gateway, Metadata Catalogue, API endpoints, and Federation Services).</w:t>
      </w:r>
    </w:p>
    <w:p w14:paraId="18EF9636" w14:textId="5848151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rPr>
        <w:t xml:space="preserve">The </w:t>
      </w:r>
      <w:r w:rsidRPr="000A160B">
        <w:rPr>
          <w:rFonts w:asciiTheme="minorHAnsi" w:hAnsiTheme="minorHAnsi" w:cstheme="minorHAnsi"/>
          <w:b/>
          <w:bCs/>
        </w:rPr>
        <w:t>technical interfaces</w:t>
      </w:r>
      <w:r w:rsidRPr="000A160B">
        <w:rPr>
          <w:rFonts w:asciiTheme="minorHAnsi" w:hAnsiTheme="minorHAnsi" w:cstheme="minorHAnsi"/>
        </w:rPr>
        <w:t xml:space="preserve"> supporting image discovery, query, and retrieval between NIR and regional </w:t>
      </w:r>
      <w:r w:rsidR="000B4F22">
        <w:rPr>
          <w:rFonts w:asciiTheme="minorHAnsi" w:hAnsiTheme="minorHAnsi" w:cstheme="minorHAnsi"/>
        </w:rPr>
        <w:t>providers / organisations</w:t>
      </w:r>
      <w:r w:rsidR="003B63AF" w:rsidRPr="000A160B">
        <w:rPr>
          <w:rFonts w:asciiTheme="minorHAnsi" w:hAnsiTheme="minorHAnsi" w:cstheme="minorHAnsi"/>
        </w:rPr>
        <w:t>, built on IHE XDS and XCA interoperability profiles.</w:t>
      </w:r>
    </w:p>
    <w:p w14:paraId="3A625A7A" w14:textId="7777777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b/>
          <w:bCs/>
        </w:rPr>
        <w:t>User access and authentication mechanisms</w:t>
      </w:r>
      <w:r w:rsidRPr="000A160B">
        <w:rPr>
          <w:rFonts w:asciiTheme="minorHAnsi" w:hAnsiTheme="minorHAnsi" w:cstheme="minorHAnsi"/>
        </w:rPr>
        <w:t>, including identity federation and audit logging.</w:t>
      </w:r>
    </w:p>
    <w:p w14:paraId="6A35D162" w14:textId="7777777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b/>
          <w:bCs/>
        </w:rPr>
        <w:t>Operational and governance controls</w:t>
      </w:r>
      <w:r w:rsidRPr="000A160B">
        <w:rPr>
          <w:rFonts w:asciiTheme="minorHAnsi" w:hAnsiTheme="minorHAnsi" w:cstheme="minorHAnsi"/>
        </w:rPr>
        <w:t>, including observability, error handling, and reporting dashboards.</w:t>
      </w:r>
    </w:p>
    <w:p w14:paraId="2DAE9F5A" w14:textId="7777777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b/>
          <w:bCs/>
        </w:rPr>
        <w:t>Supplier integration and conformance processes</w:t>
      </w:r>
      <w:r w:rsidRPr="000A160B">
        <w:rPr>
          <w:rFonts w:asciiTheme="minorHAnsi" w:hAnsiTheme="minorHAnsi" w:cstheme="minorHAnsi"/>
        </w:rPr>
        <w:t>, including DCB 0160-aligned assurance for systems connecting to NIR.</w:t>
      </w:r>
    </w:p>
    <w:p w14:paraId="1F24181D" w14:textId="77777777" w:rsidR="005572E2" w:rsidRPr="000A160B" w:rsidRDefault="005572E2" w:rsidP="00143DD5">
      <w:pPr>
        <w:numPr>
          <w:ilvl w:val="0"/>
          <w:numId w:val="25"/>
        </w:numPr>
        <w:spacing w:line="276" w:lineRule="auto"/>
        <w:jc w:val="both"/>
        <w:rPr>
          <w:rFonts w:asciiTheme="minorHAnsi" w:hAnsiTheme="minorHAnsi" w:cstheme="minorHAnsi"/>
        </w:rPr>
      </w:pPr>
      <w:r w:rsidRPr="000A160B">
        <w:rPr>
          <w:rFonts w:asciiTheme="minorHAnsi" w:hAnsiTheme="minorHAnsi" w:cstheme="minorHAnsi"/>
          <w:b/>
          <w:bCs/>
        </w:rPr>
        <w:t>Clinical Safety Governance arrangements</w:t>
      </w:r>
      <w:r w:rsidRPr="000A160B">
        <w:rPr>
          <w:rFonts w:asciiTheme="minorHAnsi" w:hAnsiTheme="minorHAnsi" w:cstheme="minorHAnsi"/>
        </w:rPr>
        <w:t>, including workshops, hazard log management, and sign-off processes under the NHS England Clinical Safety Management System (CSMS).</w:t>
      </w:r>
    </w:p>
    <w:p w14:paraId="08F2D54F" w14:textId="11ABE9BD" w:rsidR="00DD1148" w:rsidRDefault="00DD1148" w:rsidP="00B3622E">
      <w:pPr>
        <w:spacing w:line="276" w:lineRule="auto"/>
        <w:jc w:val="both"/>
        <w:rPr>
          <w:rFonts w:asciiTheme="minorHAnsi" w:hAnsiTheme="minorHAnsi" w:cstheme="minorHAnsi"/>
          <w:color w:val="auto"/>
        </w:rPr>
      </w:pPr>
      <w:r w:rsidRPr="000A160B">
        <w:rPr>
          <w:rFonts w:asciiTheme="minorHAnsi" w:hAnsiTheme="minorHAnsi" w:cstheme="minorHAnsi"/>
        </w:rPr>
        <w:t xml:space="preserve">Note: The adoption of the NHS England Metadata Handling and Discovery Service (MHDS) model and FHIR-based APIs is out of scope for this safety case and will be included in a future assessment once introduced in later </w:t>
      </w:r>
      <w:r w:rsidRPr="00175953">
        <w:rPr>
          <w:rFonts w:asciiTheme="minorHAnsi" w:hAnsiTheme="minorHAnsi" w:cstheme="minorHAnsi"/>
          <w:color w:val="auto"/>
        </w:rPr>
        <w:t xml:space="preserve">programme </w:t>
      </w:r>
      <w:r w:rsidR="00F4082E" w:rsidRPr="00175953">
        <w:rPr>
          <w:rFonts w:asciiTheme="minorHAnsi" w:hAnsiTheme="minorHAnsi" w:cstheme="minorHAnsi"/>
          <w:color w:val="auto"/>
        </w:rPr>
        <w:t>iterations</w:t>
      </w:r>
      <w:r w:rsidRPr="00175953">
        <w:rPr>
          <w:rFonts w:asciiTheme="minorHAnsi" w:hAnsiTheme="minorHAnsi" w:cstheme="minorHAnsi"/>
          <w:color w:val="auto"/>
        </w:rPr>
        <w:t>.</w:t>
      </w:r>
    </w:p>
    <w:p w14:paraId="7CDB0573" w14:textId="77777777" w:rsidR="00B3622E" w:rsidRDefault="001E0AF6"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Clinical safety assurance for NIR operates across two complementary domains:</w:t>
      </w:r>
    </w:p>
    <w:p w14:paraId="1ED54768" w14:textId="77777777" w:rsidR="00B3622E" w:rsidRDefault="001E0AF6" w:rsidP="00B3622E">
      <w:pPr>
        <w:pStyle w:val="ListParagraph"/>
        <w:numPr>
          <w:ilvl w:val="0"/>
          <w:numId w:val="98"/>
        </w:num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b/>
          <w:bCs/>
          <w:color w:val="auto"/>
          <w:lang w:eastAsia="en-GB"/>
        </w:rPr>
        <w:t>DCB0129 (Manufacturer – NIR Programme and Suppliers):</w:t>
      </w:r>
      <w:r w:rsidRPr="00B3622E">
        <w:rPr>
          <w:rFonts w:asciiTheme="minorHAnsi" w:hAnsiTheme="minorHAnsi" w:cstheme="minorHAnsi"/>
          <w:color w:val="auto"/>
          <w:lang w:eastAsia="en-GB"/>
        </w:rPr>
        <w:t xml:space="preserve"> Covers the design, development, and technical safety of the NIR platform and supplier systems</w:t>
      </w:r>
    </w:p>
    <w:p w14:paraId="753B513C" w14:textId="3B5AA0BD" w:rsidR="001E0AF6" w:rsidRPr="00B3622E" w:rsidRDefault="001E0AF6" w:rsidP="00B3622E">
      <w:pPr>
        <w:pStyle w:val="ListParagraph"/>
        <w:numPr>
          <w:ilvl w:val="0"/>
          <w:numId w:val="98"/>
        </w:num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b/>
          <w:bCs/>
          <w:color w:val="auto"/>
          <w:lang w:eastAsia="en-GB"/>
        </w:rPr>
        <w:t>DCB0160 (Deployment – NHS Organisations):</w:t>
      </w:r>
      <w:r w:rsidRPr="00B3622E">
        <w:rPr>
          <w:rFonts w:asciiTheme="minorHAnsi" w:hAnsiTheme="minorHAnsi" w:cstheme="minorHAnsi"/>
          <w:color w:val="auto"/>
          <w:lang w:eastAsia="en-GB"/>
        </w:rPr>
        <w:t xml:space="preserve"> Covers the safe deployment, configuration, and operational use of NIR within local clinical environments.</w:t>
      </w:r>
    </w:p>
    <w:p w14:paraId="4F471BAD" w14:textId="0EF9A3BF" w:rsidR="00C36837" w:rsidRPr="001E0AF6" w:rsidRDefault="00C36837" w:rsidP="00B3622E">
      <w:pPr>
        <w:spacing w:before="100" w:beforeAutospacing="1" w:after="100" w:afterAutospacing="1" w:line="276" w:lineRule="auto"/>
        <w:textboxTightWrap w:val="none"/>
        <w:rPr>
          <w:rFonts w:asciiTheme="minorHAnsi" w:hAnsiTheme="minorHAnsi" w:cstheme="minorHAnsi"/>
          <w:color w:val="auto"/>
          <w:lang w:eastAsia="en-GB"/>
        </w:rPr>
      </w:pPr>
      <w:r w:rsidRPr="00B3622E">
        <w:t>The NIR onboarding process provides assurance of supplier conformance and technical integration; however, it does not independently assure safe clinical use. Safe deployment is achieved through a structured onboarding model aligned to the NHS England Digital Onboarding Service (DOS), which requires completion and verification of DCB0160 activities, formal Clinical Safety Officer (CSO) sign-off, and governance approval prior to go-live.</w:t>
      </w:r>
    </w:p>
    <w:p w14:paraId="208054C1" w14:textId="77777777" w:rsidR="00B3622E" w:rsidRDefault="00B3622E" w:rsidP="00105D26">
      <w:pPr>
        <w:pStyle w:val="Heading2"/>
      </w:pPr>
      <w:bookmarkStart w:id="14" w:name="_Toc214870514"/>
    </w:p>
    <w:p w14:paraId="1643224A" w14:textId="77777777" w:rsidR="00B3622E" w:rsidRDefault="00B3622E" w:rsidP="00105D26">
      <w:pPr>
        <w:pStyle w:val="Heading2"/>
      </w:pPr>
    </w:p>
    <w:p w14:paraId="46BDD0E6" w14:textId="764027C8" w:rsidR="005572E2" w:rsidRPr="005572E2" w:rsidRDefault="005572E2" w:rsidP="00105D26">
      <w:pPr>
        <w:pStyle w:val="Heading2"/>
      </w:pPr>
      <w:r w:rsidRPr="005572E2">
        <w:t>Phased Coverage</w:t>
      </w:r>
      <w:bookmarkEnd w:id="14"/>
    </w:p>
    <w:p w14:paraId="7B03E284" w14:textId="3DB43121" w:rsidR="005572E2" w:rsidRPr="000A160B" w:rsidRDefault="005572E2" w:rsidP="005572E2">
      <w:pPr>
        <w:spacing w:line="276" w:lineRule="auto"/>
        <w:jc w:val="both"/>
        <w:rPr>
          <w:rFonts w:asciiTheme="minorHAnsi" w:hAnsiTheme="minorHAnsi" w:cstheme="minorHAnsi"/>
        </w:rPr>
      </w:pPr>
      <w:r w:rsidRPr="000A160B">
        <w:rPr>
          <w:rFonts w:asciiTheme="minorHAnsi" w:hAnsiTheme="minorHAnsi" w:cstheme="minorHAnsi"/>
        </w:rPr>
        <w:t xml:space="preserve">This </w:t>
      </w:r>
      <w:r w:rsidR="000A160B" w:rsidRPr="000A160B">
        <w:rPr>
          <w:rFonts w:asciiTheme="minorHAnsi" w:hAnsiTheme="minorHAnsi" w:cstheme="minorHAnsi"/>
        </w:rPr>
        <w:t>safety case</w:t>
      </w:r>
      <w:r w:rsidRPr="000A160B">
        <w:rPr>
          <w:rFonts w:asciiTheme="minorHAnsi" w:hAnsiTheme="minorHAnsi" w:cstheme="minorHAnsi"/>
        </w:rPr>
        <w:t xml:space="preserve"> focuses</w:t>
      </w:r>
      <w:r w:rsidR="002B36B7">
        <w:rPr>
          <w:rFonts w:asciiTheme="minorHAnsi" w:hAnsiTheme="minorHAnsi" w:cstheme="minorHAnsi"/>
        </w:rPr>
        <w:t xml:space="preserve"> </w:t>
      </w:r>
      <w:r w:rsidRPr="000A160B">
        <w:rPr>
          <w:rFonts w:asciiTheme="minorHAnsi" w:hAnsiTheme="minorHAnsi" w:cstheme="minorHAnsi"/>
        </w:rPr>
        <w:t>on:</w:t>
      </w:r>
    </w:p>
    <w:p w14:paraId="5F15CF6C" w14:textId="5ABAEAFF" w:rsidR="005572E2" w:rsidRPr="002B36B7" w:rsidRDefault="00F4082E" w:rsidP="002B36B7">
      <w:pPr>
        <w:pStyle w:val="ListParagraph"/>
        <w:numPr>
          <w:ilvl w:val="0"/>
          <w:numId w:val="67"/>
        </w:numPr>
        <w:rPr>
          <w:b/>
          <w:bCs/>
        </w:rPr>
      </w:pPr>
      <w:r w:rsidRPr="00175953">
        <w:rPr>
          <w:rFonts w:asciiTheme="minorHAnsi" w:hAnsiTheme="minorHAnsi" w:cstheme="minorBidi"/>
          <w:b/>
          <w:bCs/>
          <w:color w:val="auto"/>
        </w:rPr>
        <w:t>Discovery &amp; Report Retrieval and Image retrieval for the XCA endpoint</w:t>
      </w:r>
      <w:r w:rsidRPr="00175953">
        <w:rPr>
          <w:b/>
          <w:bCs/>
          <w:color w:val="auto"/>
        </w:rPr>
        <w:t xml:space="preserve"> </w:t>
      </w:r>
      <w:r w:rsidR="000A160B" w:rsidRPr="00175953">
        <w:rPr>
          <w:b/>
          <w:bCs/>
          <w:color w:val="auto"/>
        </w:rPr>
        <w:t>:</w:t>
      </w:r>
      <w:r w:rsidR="000A160B" w:rsidRPr="00175953">
        <w:rPr>
          <w:color w:val="auto"/>
        </w:rPr>
        <w:t xml:space="preserve"> </w:t>
      </w:r>
      <w:r w:rsidRPr="00175953">
        <w:rPr>
          <w:color w:val="auto"/>
        </w:rPr>
        <w:t>D</w:t>
      </w:r>
      <w:r w:rsidR="000A160B" w:rsidRPr="00175953">
        <w:rPr>
          <w:color w:val="auto"/>
        </w:rPr>
        <w:t xml:space="preserve">elivers the initial capability for </w:t>
      </w:r>
      <w:r w:rsidRPr="00175953">
        <w:rPr>
          <w:color w:val="auto"/>
        </w:rPr>
        <w:t xml:space="preserve">XCA </w:t>
      </w:r>
      <w:r w:rsidR="000A160B" w:rsidRPr="00175953">
        <w:rPr>
          <w:color w:val="auto"/>
        </w:rPr>
        <w:t xml:space="preserve">cross-network discovery </w:t>
      </w:r>
      <w:r w:rsidR="000A160B" w:rsidRPr="0088086A">
        <w:t xml:space="preserve">of </w:t>
      </w:r>
      <w:r w:rsidRPr="0088086A">
        <w:t xml:space="preserve">patient </w:t>
      </w:r>
      <w:r w:rsidR="000A160B" w:rsidRPr="0088086A">
        <w:t xml:space="preserve">imaging </w:t>
      </w:r>
      <w:r w:rsidRPr="0088086A">
        <w:t>history</w:t>
      </w:r>
      <w:r w:rsidR="000A160B" w:rsidRPr="0088086A">
        <w:t xml:space="preserve"> and retrieval of associated </w:t>
      </w:r>
      <w:r w:rsidR="00175953">
        <w:t>reports/images</w:t>
      </w:r>
      <w:r w:rsidR="000A160B" w:rsidRPr="0088086A">
        <w:t xml:space="preserve"> via the</w:t>
      </w:r>
      <w:r w:rsidR="000A160B" w:rsidRPr="000A160B">
        <w:t xml:space="preserve"> NIR Gateway. It establishes the foundational interoperability, metadata exchange, and safety controls needed to validate that the core discovery model works reliably in a controlled environment.</w:t>
      </w:r>
    </w:p>
    <w:p w14:paraId="68CC3707" w14:textId="56ED2650" w:rsidR="000A160B" w:rsidRDefault="005572E2" w:rsidP="000A160B">
      <w:pPr>
        <w:spacing w:line="276" w:lineRule="auto"/>
        <w:jc w:val="both"/>
        <w:rPr>
          <w:rFonts w:asciiTheme="minorHAnsi" w:hAnsiTheme="minorHAnsi" w:cstheme="minorHAnsi"/>
        </w:rPr>
      </w:pPr>
      <w:r w:rsidRPr="000A160B">
        <w:rPr>
          <w:rFonts w:asciiTheme="minorHAnsi" w:hAnsiTheme="minorHAnsi" w:cstheme="minorHAnsi"/>
        </w:rPr>
        <w:t xml:space="preserve">Other </w:t>
      </w:r>
      <w:r w:rsidR="0088086A">
        <w:rPr>
          <w:rFonts w:asciiTheme="minorHAnsi" w:hAnsiTheme="minorHAnsi" w:cstheme="minorHAnsi"/>
        </w:rPr>
        <w:t>iterations</w:t>
      </w:r>
      <w:r w:rsidRPr="000A160B">
        <w:rPr>
          <w:rFonts w:asciiTheme="minorHAnsi" w:hAnsiTheme="minorHAnsi" w:cstheme="minorHAnsi"/>
        </w:rPr>
        <w:t xml:space="preserve"> are referenced for context where safety findings or design features contribute</w:t>
      </w:r>
      <w:r w:rsidR="0088086A">
        <w:rPr>
          <w:rFonts w:asciiTheme="minorHAnsi" w:hAnsiTheme="minorHAnsi" w:cstheme="minorHAnsi"/>
        </w:rPr>
        <w:t>. For the full NIR milestone plan see:</w:t>
      </w:r>
    </w:p>
    <w:p w14:paraId="5B0EBB8D" w14:textId="0753D39D" w:rsidR="00F4082E" w:rsidRDefault="0088086A" w:rsidP="000A160B">
      <w:pPr>
        <w:spacing w:line="276" w:lineRule="auto"/>
        <w:jc w:val="both"/>
        <w:rPr>
          <w:rFonts w:asciiTheme="minorHAnsi" w:hAnsiTheme="minorHAnsi" w:cstheme="minorHAnsi"/>
        </w:rPr>
      </w:pPr>
      <w:hyperlink r:id="rId37" w:history="1">
        <w:r w:rsidRPr="00041273">
          <w:rPr>
            <w:rStyle w:val="Hyperlink"/>
            <w:rFonts w:cstheme="minorHAnsi"/>
          </w:rPr>
          <w:t>https://nhsd-confluence.digital.nhs.uk/spaces/CLP/pages/1102719581/NHSE+National+Imaging+Registry+NIR+Solution+Milestones</w:t>
        </w:r>
      </w:hyperlink>
    </w:p>
    <w:p w14:paraId="3FD44861" w14:textId="77777777" w:rsidR="00556770" w:rsidRDefault="00556770" w:rsidP="00556770"/>
    <w:p w14:paraId="45018DA8" w14:textId="77777777" w:rsidR="00175953" w:rsidRDefault="00175953">
      <w:pPr>
        <w:spacing w:after="0"/>
        <w:textboxTightWrap w:val="none"/>
        <w:rPr>
          <w:rFonts w:eastAsia="MS Mincho"/>
          <w:b/>
          <w:color w:val="005EB8"/>
          <w:spacing w:val="-6"/>
          <w:kern w:val="28"/>
          <w:sz w:val="28"/>
          <w:szCs w:val="28"/>
          <w14:ligatures w14:val="standardContextual"/>
        </w:rPr>
      </w:pPr>
      <w:bookmarkStart w:id="15" w:name="_Toc214870515"/>
      <w:r>
        <w:br w:type="page"/>
      </w:r>
    </w:p>
    <w:p w14:paraId="4FAC66E1" w14:textId="37FECCBF" w:rsidR="00556770" w:rsidRPr="00674E1B" w:rsidRDefault="00556770" w:rsidP="00105D26">
      <w:pPr>
        <w:pStyle w:val="Heading2"/>
      </w:pPr>
      <w:r w:rsidRPr="00674E1B">
        <w:lastRenderedPageBreak/>
        <w:t>Private Beta Overview</w:t>
      </w:r>
      <w:bookmarkEnd w:id="15"/>
    </w:p>
    <w:p w14:paraId="23F3B203" w14:textId="0DD1AF4E" w:rsidR="00556770" w:rsidRPr="00674E1B" w:rsidRDefault="00556770" w:rsidP="00556770">
      <w:r w:rsidRPr="00674E1B">
        <w:t xml:space="preserve">The National Image Registry (NIR) </w:t>
      </w:r>
      <w:r w:rsidRPr="00674E1B">
        <w:rPr>
          <w:b/>
          <w:bCs/>
        </w:rPr>
        <w:t>Private Beta phase</w:t>
      </w:r>
      <w:r w:rsidRPr="00674E1B">
        <w:t xml:space="preserve"> </w:t>
      </w:r>
      <w:r w:rsidR="002B36B7">
        <w:t xml:space="preserve">is </w:t>
      </w:r>
      <w:r w:rsidRPr="00674E1B">
        <w:t xml:space="preserve">to validate core functionality, interoperability, and safety controls in a controlled, real-world clinical environment. Private Beta involved a limited number of early-adopter </w:t>
      </w:r>
      <w:r w:rsidR="000B4F22">
        <w:t>providers / organisations</w:t>
      </w:r>
      <w:r w:rsidRPr="00674E1B">
        <w:t xml:space="preserve"> selected based on technical readiness, governance maturity, and supplier interoperability capabilities.</w:t>
      </w:r>
    </w:p>
    <w:p w14:paraId="5700E29F" w14:textId="64987C80" w:rsidR="00556770" w:rsidRPr="00674E1B" w:rsidRDefault="00556770" w:rsidP="00556770">
      <w:r w:rsidRPr="00674E1B">
        <w:t xml:space="preserve">During this phase, the NIR </w:t>
      </w:r>
      <w:r w:rsidR="002B36B7">
        <w:t>is</w:t>
      </w:r>
      <w:r w:rsidRPr="00674E1B">
        <w:t xml:space="preserve"> integrated with live PACS/VNA systems, enabling end-to-end testing of metadata registration, image discovery, and federated retrieval using real clinical workflows and genuine patient data under strict information governance controls. The Private Beta environment allow</w:t>
      </w:r>
      <w:r w:rsidR="002B36B7">
        <w:t>s</w:t>
      </w:r>
      <w:r w:rsidRPr="00674E1B">
        <w:t xml:space="preserve"> the programme to assess system performance, workflow alignment, and error-handling behaviour outside laboratory conditions, while maintaining close oversight from the Clinical Safety Officer</w:t>
      </w:r>
      <w:r w:rsidR="002B36B7">
        <w:t xml:space="preserve"> and project technical personnel</w:t>
      </w:r>
      <w:r w:rsidRPr="00674E1B">
        <w:t>.</w:t>
      </w:r>
    </w:p>
    <w:p w14:paraId="5802DD2E" w14:textId="5B4AB1F1" w:rsidR="00556770" w:rsidRPr="00674E1B" w:rsidRDefault="00556770" w:rsidP="00556770">
      <w:r w:rsidRPr="00674E1B">
        <w:t>Issues identified during Private Beta</w:t>
      </w:r>
      <w:r w:rsidR="002B36B7">
        <w:t xml:space="preserve">, </w:t>
      </w:r>
      <w:r w:rsidRPr="00674E1B">
        <w:t>such as supplier conformance variability, intermittent retrieval behaviour, and metadata quality inconsistencies</w:t>
      </w:r>
      <w:r w:rsidR="002B36B7">
        <w:t xml:space="preserve">, can be </w:t>
      </w:r>
      <w:r w:rsidRPr="00674E1B">
        <w:t>logged, triaged, and remediated through iterative development cycles. Hazard mitigations were validated against real-world use, providing assurance evidence for the DCB 0129 safety case and informing updates to the Hazard Log and clinical safety documentation.</w:t>
      </w:r>
    </w:p>
    <w:p w14:paraId="39F084A0" w14:textId="77777777" w:rsidR="00237316" w:rsidRDefault="00237316" w:rsidP="00237316">
      <w:r w:rsidRPr="00674E1B">
        <w:t xml:space="preserve">Private Beta </w:t>
      </w:r>
      <w:r>
        <w:t xml:space="preserve">will </w:t>
      </w:r>
      <w:r w:rsidRPr="00674E1B">
        <w:t>confirm</w:t>
      </w:r>
      <w:r>
        <w:t>,</w:t>
      </w:r>
      <w:r w:rsidRPr="00674E1B">
        <w:t xml:space="preserve"> </w:t>
      </w:r>
      <w:r>
        <w:t xml:space="preserve">against a set of defined outcome criteria, </w:t>
      </w:r>
      <w:r w:rsidRPr="00674E1B">
        <w:t xml:space="preserve">that the NIR architecture, interoperability model, and safety controls </w:t>
      </w:r>
      <w:r>
        <w:t>are</w:t>
      </w:r>
      <w:r w:rsidRPr="00674E1B">
        <w:t xml:space="preserve"> robust and suitable for progression to wider deployment, forming a key component of the overall safety justification for national rollout.</w:t>
      </w:r>
      <w:r>
        <w:t xml:space="preserve"> </w:t>
      </w:r>
      <w:hyperlink r:id="rId38" w:history="1">
        <w:r>
          <w:rPr>
            <w:rStyle w:val="Hyperlink"/>
            <w:rFonts w:ascii="Arial" w:hAnsi="Arial"/>
          </w:rPr>
          <w:t>Private Beta Success Criteria / Outcomes Document</w:t>
        </w:r>
      </w:hyperlink>
    </w:p>
    <w:p w14:paraId="2BF3AC02" w14:textId="4CA04370" w:rsidR="00556770" w:rsidRPr="002B36B7" w:rsidRDefault="00556770" w:rsidP="00556770">
      <w:r w:rsidRPr="00674E1B">
        <w:t xml:space="preserve">Private Beta is the </w:t>
      </w:r>
      <w:r w:rsidRPr="002B36B7">
        <w:t xml:space="preserve">stage where NIR is used in real clinical environments, but only by a carefully selected group of early-adopter </w:t>
      </w:r>
      <w:r w:rsidR="000B4F22">
        <w:t>providers / organisations</w:t>
      </w:r>
      <w:r w:rsidRPr="002B36B7">
        <w:t>. It sits between early prototype/internal testing and wider regional or national deployment.</w:t>
      </w:r>
    </w:p>
    <w:p w14:paraId="3E1A8F3C" w14:textId="77777777" w:rsidR="00556770" w:rsidRPr="00674E1B" w:rsidRDefault="00556770" w:rsidP="00556770">
      <w:pPr>
        <w:rPr>
          <w:b/>
          <w:bCs/>
        </w:rPr>
      </w:pPr>
      <w:r w:rsidRPr="00674E1B">
        <w:rPr>
          <w:b/>
          <w:bCs/>
        </w:rPr>
        <w:t>Purpose</w:t>
      </w:r>
    </w:p>
    <w:p w14:paraId="1BF5C7B7" w14:textId="77777777" w:rsidR="00556770" w:rsidRPr="00674E1B" w:rsidRDefault="00556770" w:rsidP="00556770">
      <w:pPr>
        <w:numPr>
          <w:ilvl w:val="0"/>
          <w:numId w:val="62"/>
        </w:numPr>
        <w:spacing w:after="160" w:line="278" w:lineRule="auto"/>
        <w:textboxTightWrap w:val="none"/>
      </w:pPr>
      <w:r w:rsidRPr="00674E1B">
        <w:t>Validate the NIR architecture in real operational workflows.</w:t>
      </w:r>
    </w:p>
    <w:p w14:paraId="3EFB85EE" w14:textId="77777777" w:rsidR="00556770" w:rsidRPr="00674E1B" w:rsidRDefault="00556770" w:rsidP="00556770">
      <w:pPr>
        <w:numPr>
          <w:ilvl w:val="0"/>
          <w:numId w:val="62"/>
        </w:numPr>
        <w:spacing w:after="160" w:line="278" w:lineRule="auto"/>
        <w:textboxTightWrap w:val="none"/>
      </w:pPr>
      <w:r w:rsidRPr="00674E1B">
        <w:t>Identify and resolve clinical, technical, and interoperability issues early.</w:t>
      </w:r>
    </w:p>
    <w:p w14:paraId="524DDC1E" w14:textId="77777777" w:rsidR="00556770" w:rsidRPr="00674E1B" w:rsidRDefault="00556770" w:rsidP="00556770">
      <w:pPr>
        <w:numPr>
          <w:ilvl w:val="0"/>
          <w:numId w:val="62"/>
        </w:numPr>
        <w:spacing w:after="160" w:line="278" w:lineRule="auto"/>
        <w:textboxTightWrap w:val="none"/>
      </w:pPr>
      <w:r w:rsidRPr="00674E1B">
        <w:t>Gather structured feedback from radiologists, PACS teams, and integration specialists.</w:t>
      </w:r>
    </w:p>
    <w:p w14:paraId="100250E1" w14:textId="77777777" w:rsidR="00556770" w:rsidRPr="00674E1B" w:rsidRDefault="00556770" w:rsidP="00556770">
      <w:pPr>
        <w:numPr>
          <w:ilvl w:val="0"/>
          <w:numId w:val="62"/>
        </w:numPr>
        <w:spacing w:after="160" w:line="278" w:lineRule="auto"/>
        <w:textboxTightWrap w:val="none"/>
      </w:pPr>
      <w:r w:rsidRPr="00674E1B">
        <w:t>Prove safety controls work outside a lab setting.</w:t>
      </w:r>
    </w:p>
    <w:p w14:paraId="43E58362" w14:textId="77777777" w:rsidR="00556770" w:rsidRPr="00674E1B" w:rsidRDefault="00556770" w:rsidP="00556770">
      <w:pPr>
        <w:numPr>
          <w:ilvl w:val="0"/>
          <w:numId w:val="62"/>
        </w:numPr>
        <w:spacing w:after="160" w:line="278" w:lineRule="auto"/>
        <w:textboxTightWrap w:val="none"/>
      </w:pPr>
      <w:r w:rsidRPr="00674E1B">
        <w:t>Ensure suppliers can successfully interoperate using IHE XDS-I / XCA standards.</w:t>
      </w:r>
    </w:p>
    <w:p w14:paraId="56EE108E" w14:textId="77777777" w:rsidR="00556770" w:rsidRPr="00674E1B" w:rsidRDefault="00556770" w:rsidP="00556770">
      <w:pPr>
        <w:rPr>
          <w:b/>
          <w:bCs/>
        </w:rPr>
      </w:pPr>
      <w:r w:rsidRPr="00674E1B">
        <w:rPr>
          <w:b/>
          <w:bCs/>
        </w:rPr>
        <w:t>Participants</w:t>
      </w:r>
    </w:p>
    <w:p w14:paraId="05FDFC25" w14:textId="77777777" w:rsidR="00556770" w:rsidRPr="00674E1B" w:rsidRDefault="00556770" w:rsidP="00556770">
      <w:r w:rsidRPr="00674E1B">
        <w:t>Only organisations that:</w:t>
      </w:r>
    </w:p>
    <w:p w14:paraId="7BBEC1C6" w14:textId="77777777" w:rsidR="00556770" w:rsidRPr="00674E1B" w:rsidRDefault="00556770" w:rsidP="00556770">
      <w:pPr>
        <w:numPr>
          <w:ilvl w:val="0"/>
          <w:numId w:val="63"/>
        </w:numPr>
        <w:spacing w:after="160" w:line="278" w:lineRule="auto"/>
        <w:textboxTightWrap w:val="none"/>
      </w:pPr>
      <w:r w:rsidRPr="00674E1B">
        <w:t>Have appropriate technical readiness,</w:t>
      </w:r>
    </w:p>
    <w:p w14:paraId="601CBAD2" w14:textId="77777777" w:rsidR="00556770" w:rsidRPr="00674E1B" w:rsidRDefault="00556770" w:rsidP="00556770">
      <w:pPr>
        <w:numPr>
          <w:ilvl w:val="0"/>
          <w:numId w:val="63"/>
        </w:numPr>
        <w:spacing w:after="160" w:line="278" w:lineRule="auto"/>
        <w:textboxTightWrap w:val="none"/>
      </w:pPr>
      <w:r w:rsidRPr="00674E1B">
        <w:t>Can support controlled testing,</w:t>
      </w:r>
    </w:p>
    <w:p w14:paraId="4937E7B9" w14:textId="77777777" w:rsidR="00556770" w:rsidRPr="00674E1B" w:rsidRDefault="00556770" w:rsidP="00556770">
      <w:pPr>
        <w:numPr>
          <w:ilvl w:val="0"/>
          <w:numId w:val="63"/>
        </w:numPr>
        <w:spacing w:after="160" w:line="278" w:lineRule="auto"/>
        <w:textboxTightWrap w:val="none"/>
      </w:pPr>
      <w:r w:rsidRPr="00674E1B">
        <w:t>Are connected to the national onboarding and assurance process,</w:t>
      </w:r>
      <w:r w:rsidRPr="00674E1B">
        <w:br/>
        <w:t>are selected.</w:t>
      </w:r>
    </w:p>
    <w:p w14:paraId="320610E7" w14:textId="74BA5CC6" w:rsidR="00556770" w:rsidRPr="005572E2" w:rsidRDefault="00C36837" w:rsidP="005572E2">
      <w:pPr>
        <w:spacing w:line="276" w:lineRule="auto"/>
        <w:jc w:val="both"/>
        <w:rPr>
          <w:rFonts w:asciiTheme="minorHAnsi" w:hAnsiTheme="minorHAnsi" w:cstheme="minorHAnsi"/>
          <w:sz w:val="22"/>
          <w:szCs w:val="22"/>
        </w:rPr>
      </w:pPr>
      <w:r w:rsidRPr="00B3622E">
        <w:t>Private Beta also validates the effectiveness of the NIR onboarding and clinical safety assurance model, including deployment guardrails, governance controls, and verification processes, prior to wider rollout.</w:t>
      </w:r>
    </w:p>
    <w:p w14:paraId="4701FD95" w14:textId="428F08A0" w:rsidR="005572E2" w:rsidRPr="005572E2" w:rsidRDefault="005572E2" w:rsidP="00105D26">
      <w:pPr>
        <w:pStyle w:val="Heading2"/>
      </w:pPr>
      <w:bookmarkStart w:id="16" w:name="_Toc214870516"/>
      <w:r w:rsidRPr="005572E2">
        <w:lastRenderedPageBreak/>
        <w:t>Exclusions</w:t>
      </w:r>
      <w:bookmarkEnd w:id="16"/>
    </w:p>
    <w:p w14:paraId="326A0762" w14:textId="77777777" w:rsidR="005572E2" w:rsidRPr="00B3622E" w:rsidRDefault="005572E2" w:rsidP="005572E2">
      <w:pPr>
        <w:spacing w:line="276" w:lineRule="auto"/>
        <w:jc w:val="both"/>
        <w:rPr>
          <w:rFonts w:asciiTheme="minorHAnsi" w:hAnsiTheme="minorHAnsi" w:cstheme="minorHAnsi"/>
        </w:rPr>
      </w:pPr>
      <w:r w:rsidRPr="00B3622E">
        <w:rPr>
          <w:rFonts w:asciiTheme="minorHAnsi" w:hAnsiTheme="minorHAnsi" w:cstheme="minorHAnsi"/>
        </w:rPr>
        <w:t>The following elements are explicitly excluded from the scope of this DCB 0129 assessment:</w:t>
      </w:r>
    </w:p>
    <w:p w14:paraId="440D8777" w14:textId="2A9C7FD8" w:rsidR="001E0AF6" w:rsidRPr="00B3622E" w:rsidRDefault="001E0AF6" w:rsidP="001E0AF6">
      <w:pPr>
        <w:pStyle w:val="ListParagraph"/>
        <w:numPr>
          <w:ilvl w:val="0"/>
          <w:numId w:val="27"/>
        </w:numPr>
        <w:spacing w:before="100" w:beforeAutospacing="1" w:after="100" w:afterAutospacing="1"/>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Local PACS, RIS, VNA systems and associated clinical workflows remain the responsibility of deploying organisations and are governed under DCB0160. Safe use of the NIR within these environments is dependent on the correct implementation of local operational controls (e.g. training, SOPs, access governance, and incident management), which are outside the scope of this DCB0129 safety case but are mandated as part of deployment.</w:t>
      </w:r>
    </w:p>
    <w:p w14:paraId="1FE7A456" w14:textId="77777777" w:rsidR="005572E2" w:rsidRPr="00B3622E" w:rsidRDefault="005572E2" w:rsidP="00143DD5">
      <w:pPr>
        <w:numPr>
          <w:ilvl w:val="0"/>
          <w:numId w:val="27"/>
        </w:numPr>
        <w:spacing w:line="276" w:lineRule="auto"/>
        <w:jc w:val="both"/>
        <w:rPr>
          <w:rFonts w:asciiTheme="minorHAnsi" w:hAnsiTheme="minorHAnsi" w:cstheme="minorHAnsi"/>
        </w:rPr>
      </w:pPr>
      <w:r w:rsidRPr="00B3622E">
        <w:rPr>
          <w:rFonts w:asciiTheme="minorHAnsi" w:hAnsiTheme="minorHAnsi" w:cstheme="minorHAnsi"/>
        </w:rPr>
        <w:t>Third-party clinical systems or AI/analytics services that may consume NIR data for secondary use (e.g. research, audit, or algorithm training). These use cases are subject to separate safety and information governance assessments.</w:t>
      </w:r>
    </w:p>
    <w:p w14:paraId="14984445" w14:textId="77777777" w:rsidR="005572E2" w:rsidRPr="00B3622E" w:rsidRDefault="005572E2" w:rsidP="00143DD5">
      <w:pPr>
        <w:numPr>
          <w:ilvl w:val="0"/>
          <w:numId w:val="27"/>
        </w:numPr>
        <w:spacing w:line="276" w:lineRule="auto"/>
        <w:jc w:val="both"/>
        <w:rPr>
          <w:rFonts w:asciiTheme="minorHAnsi" w:hAnsiTheme="minorHAnsi" w:cstheme="minorHAnsi"/>
        </w:rPr>
      </w:pPr>
      <w:r w:rsidRPr="00B3622E">
        <w:rPr>
          <w:rFonts w:asciiTheme="minorHAnsi" w:hAnsiTheme="minorHAnsi" w:cstheme="minorHAnsi"/>
        </w:rPr>
        <w:t>Direct clinical image storage or diagnostic interpretation within the NIR platform — NIR does not host, modify, or visualise patient images.</w:t>
      </w:r>
    </w:p>
    <w:p w14:paraId="307FDA6B" w14:textId="77777777" w:rsidR="005572E2" w:rsidRPr="00B3622E" w:rsidRDefault="005572E2" w:rsidP="00143DD5">
      <w:pPr>
        <w:numPr>
          <w:ilvl w:val="0"/>
          <w:numId w:val="27"/>
        </w:numPr>
        <w:spacing w:line="276" w:lineRule="auto"/>
        <w:jc w:val="both"/>
        <w:rPr>
          <w:rFonts w:asciiTheme="minorHAnsi" w:hAnsiTheme="minorHAnsi" w:cstheme="minorHAnsi"/>
        </w:rPr>
      </w:pPr>
      <w:r w:rsidRPr="00B3622E">
        <w:rPr>
          <w:rFonts w:asciiTheme="minorHAnsi" w:hAnsiTheme="minorHAnsi" w:cstheme="minorHAnsi"/>
        </w:rPr>
        <w:t>Network infrastructure and hosting environments operated under external NHS or supplier contracts, except where their reliability or security directly affects the clinical safety of NIR operations.</w:t>
      </w:r>
    </w:p>
    <w:p w14:paraId="33EAFC0F" w14:textId="1D530132" w:rsidR="005572E2" w:rsidRPr="005572E2" w:rsidRDefault="005572E2" w:rsidP="00105D26">
      <w:pPr>
        <w:pStyle w:val="Heading2"/>
      </w:pPr>
      <w:bookmarkStart w:id="17" w:name="_Toc214870517"/>
      <w:r w:rsidRPr="005572E2">
        <w:t>Special Considerations</w:t>
      </w:r>
      <w:bookmarkEnd w:id="17"/>
    </w:p>
    <w:p w14:paraId="58D4A656" w14:textId="77777777" w:rsidR="005572E2" w:rsidRPr="00B3622E" w:rsidRDefault="005572E2" w:rsidP="00143DD5">
      <w:pPr>
        <w:numPr>
          <w:ilvl w:val="0"/>
          <w:numId w:val="28"/>
        </w:numPr>
        <w:spacing w:line="276" w:lineRule="auto"/>
        <w:jc w:val="both"/>
        <w:rPr>
          <w:rFonts w:asciiTheme="minorHAnsi" w:hAnsiTheme="minorHAnsi" w:cstheme="minorHAnsi"/>
        </w:rPr>
      </w:pPr>
      <w:r w:rsidRPr="00B3622E">
        <w:rPr>
          <w:rFonts w:asciiTheme="minorHAnsi" w:hAnsiTheme="minorHAnsi" w:cstheme="minorHAnsi"/>
        </w:rPr>
        <w:t>The NIR operates as a federated index; therefore, clinical decision-making always depends on data retrieved from source systems. The accuracy and completeness of that data are controlled through supplier assurance and governance processes external to the NIR.</w:t>
      </w:r>
    </w:p>
    <w:p w14:paraId="70FE17BE" w14:textId="77777777" w:rsidR="005572E2" w:rsidRPr="00B3622E" w:rsidRDefault="005572E2" w:rsidP="00143DD5">
      <w:pPr>
        <w:numPr>
          <w:ilvl w:val="0"/>
          <w:numId w:val="28"/>
        </w:numPr>
        <w:spacing w:line="276" w:lineRule="auto"/>
        <w:jc w:val="both"/>
        <w:rPr>
          <w:rFonts w:asciiTheme="minorHAnsi" w:hAnsiTheme="minorHAnsi" w:cstheme="minorHAnsi"/>
        </w:rPr>
      </w:pPr>
      <w:r w:rsidRPr="00B3622E">
        <w:rPr>
          <w:rFonts w:asciiTheme="minorHAnsi" w:hAnsiTheme="minorHAnsi" w:cstheme="minorHAnsi"/>
        </w:rPr>
        <w:t>Clinical safety relies on supplier adherence to metadata standards (IHE XDS-I, XCA, MHDS). Variability in supplier implementation has been identified as a recurring hazard theme, mitigated through onboarding conformance testing and continuous monitoring.</w:t>
      </w:r>
    </w:p>
    <w:p w14:paraId="5EE1C071" w14:textId="77777777" w:rsidR="005572E2" w:rsidRPr="00B3622E" w:rsidRDefault="005572E2" w:rsidP="00143DD5">
      <w:pPr>
        <w:numPr>
          <w:ilvl w:val="0"/>
          <w:numId w:val="28"/>
        </w:numPr>
        <w:spacing w:line="276" w:lineRule="auto"/>
        <w:jc w:val="both"/>
        <w:rPr>
          <w:rFonts w:asciiTheme="minorHAnsi" w:hAnsiTheme="minorHAnsi" w:cstheme="minorHAnsi"/>
        </w:rPr>
      </w:pPr>
      <w:r w:rsidRPr="00B3622E">
        <w:rPr>
          <w:rFonts w:asciiTheme="minorHAnsi" w:hAnsiTheme="minorHAnsi" w:cstheme="minorHAnsi"/>
        </w:rPr>
        <w:t>The NIR supports no direct patient-facing functionality. It is a system-to-system service, with human users typically accessing data via integrated clinical applications (e.g. PACS viewers or regional portals).</w:t>
      </w:r>
    </w:p>
    <w:p w14:paraId="15A0A8F6" w14:textId="22FB995D" w:rsidR="005572E2" w:rsidRPr="00B3622E" w:rsidRDefault="005572E2" w:rsidP="00143DD5">
      <w:pPr>
        <w:numPr>
          <w:ilvl w:val="0"/>
          <w:numId w:val="28"/>
        </w:numPr>
        <w:spacing w:line="276" w:lineRule="auto"/>
        <w:jc w:val="both"/>
        <w:rPr>
          <w:rFonts w:asciiTheme="minorHAnsi" w:hAnsiTheme="minorHAnsi" w:cstheme="minorHAnsi"/>
        </w:rPr>
      </w:pPr>
      <w:r w:rsidRPr="00B3622E">
        <w:rPr>
          <w:rFonts w:asciiTheme="minorHAnsi" w:hAnsiTheme="minorHAnsi" w:cstheme="minorHAnsi"/>
        </w:rPr>
        <w:t xml:space="preserve">The </w:t>
      </w:r>
      <w:r w:rsidR="00237316" w:rsidRPr="00B3622E">
        <w:rPr>
          <w:rFonts w:asciiTheme="minorHAnsi" w:hAnsiTheme="minorHAnsi" w:cstheme="minorHAnsi"/>
        </w:rPr>
        <w:t>CSCR</w:t>
      </w:r>
      <w:r w:rsidRPr="00B3622E">
        <w:rPr>
          <w:rFonts w:asciiTheme="minorHAnsi" w:hAnsiTheme="minorHAnsi" w:cstheme="minorHAnsi"/>
        </w:rPr>
        <w:t xml:space="preserve"> assumes that connected systems maintain compliance with their own DCB 0160 obligations and that all data exchanges occur under valid Data Sharing Agreements (DSAs) and Information Governance frameworks.</w:t>
      </w:r>
    </w:p>
    <w:p w14:paraId="13B8F7BE" w14:textId="77777777" w:rsidR="002A2988" w:rsidRDefault="002A2988" w:rsidP="002A2988">
      <w:pPr>
        <w:spacing w:line="276" w:lineRule="auto"/>
        <w:jc w:val="both"/>
        <w:rPr>
          <w:rFonts w:asciiTheme="minorHAnsi" w:hAnsiTheme="minorHAnsi" w:cstheme="minorHAnsi"/>
          <w:sz w:val="22"/>
          <w:szCs w:val="22"/>
        </w:rPr>
      </w:pPr>
    </w:p>
    <w:p w14:paraId="39C78AC7" w14:textId="1CF80583" w:rsidR="002A2988" w:rsidRPr="002A2988" w:rsidRDefault="002A2988" w:rsidP="00105D26">
      <w:pPr>
        <w:pStyle w:val="Heading2"/>
      </w:pPr>
      <w:bookmarkStart w:id="18" w:name="_Toc214870518"/>
      <w:r w:rsidRPr="002A2988">
        <w:t>Safety Claims Overview</w:t>
      </w:r>
      <w:bookmarkEnd w:id="18"/>
    </w:p>
    <w:p w14:paraId="3AD94737" w14:textId="36CEE22C" w:rsidR="0019006F" w:rsidRPr="00B3622E" w:rsidRDefault="002A2988" w:rsidP="0019006F">
      <w:pPr>
        <w:spacing w:line="276" w:lineRule="auto"/>
        <w:ind w:left="360"/>
        <w:jc w:val="both"/>
        <w:rPr>
          <w:rFonts w:asciiTheme="minorHAnsi" w:hAnsiTheme="minorHAnsi" w:cstheme="minorHAnsi"/>
        </w:rPr>
      </w:pPr>
      <w:r w:rsidRPr="00B3622E">
        <w:rPr>
          <w:rFonts w:asciiTheme="minorHAnsi" w:hAnsiTheme="minorHAnsi" w:cstheme="minorHAnsi"/>
        </w:rPr>
        <w:t>The following are i</w:t>
      </w:r>
      <w:r w:rsidR="009E5158" w:rsidRPr="00B3622E">
        <w:rPr>
          <w:rFonts w:asciiTheme="minorHAnsi" w:hAnsiTheme="minorHAnsi" w:cstheme="minorHAnsi"/>
        </w:rPr>
        <w:t>nclude</w:t>
      </w:r>
      <w:r w:rsidRPr="00B3622E">
        <w:rPr>
          <w:rFonts w:asciiTheme="minorHAnsi" w:hAnsiTheme="minorHAnsi" w:cstheme="minorHAnsi"/>
        </w:rPr>
        <w:t>d</w:t>
      </w:r>
      <w:r w:rsidR="009E5158" w:rsidRPr="00B3622E">
        <w:rPr>
          <w:rFonts w:asciiTheme="minorHAnsi" w:hAnsiTheme="minorHAnsi" w:cstheme="minorHAnsi"/>
        </w:rPr>
        <w:t xml:space="preserve"> as an overview of the safety claims </w:t>
      </w:r>
      <w:r w:rsidR="006D5EAD" w:rsidRPr="00B3622E">
        <w:rPr>
          <w:rFonts w:asciiTheme="minorHAnsi" w:hAnsiTheme="minorHAnsi" w:cstheme="minorHAnsi"/>
        </w:rPr>
        <w:t>for the NIR:</w:t>
      </w:r>
    </w:p>
    <w:p w14:paraId="4893FD83" w14:textId="77777777"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u w:val="single"/>
          <w:bdr w:val="none" w:sz="0" w:space="0" w:color="auto" w:frame="1"/>
          <w:lang w:eastAsia="en-GB"/>
        </w:rPr>
        <w:t>Primary Safety Claim 1 – Safe, Accurate and Timely Access to Imaging Information</w:t>
      </w:r>
    </w:p>
    <w:p w14:paraId="70716639" w14:textId="77777777"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 xml:space="preserve">The National Imaging Register (NIR) enables clinicians to safely, accurately and efficiently locate and retrieve imaging information across NHS organisations, supporting effective clinical decision-making without introducing unacceptable patient safety risk. Each patient record within NIR is correctly associated with a valid NHS Number and verified demographic identifiers, ensuring patient identity assurance. The system </w:t>
      </w:r>
      <w:r w:rsidRPr="00B3622E">
        <w:rPr>
          <w:rFonts w:cs="Arial"/>
          <w:color w:val="auto"/>
          <w:bdr w:val="none" w:sz="0" w:space="0" w:color="auto" w:frame="1"/>
          <w:lang w:eastAsia="en-GB"/>
        </w:rPr>
        <w:lastRenderedPageBreak/>
        <w:t>provides up-to-date pointers to imaging studies and reports, enabling access to the most recent and relevant information. When retrieval fails or is delayed, users have access to defined fallback processes (e.g., IEP transfer, manual PACS request) that maintain continuity of care. User interfaces display clear source of data and recency indicators to avoid use of outdated or incomplete data.</w:t>
      </w:r>
    </w:p>
    <w:p w14:paraId="40AD8AC4" w14:textId="2EF414C5"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 Primary Safety Claim 2 – Integrity and Confidentiality of Patient Information</w:t>
      </w:r>
    </w:p>
    <w:p w14:paraId="5CB1665B" w14:textId="77777777"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The NIR preserves the confidentiality, integrity and provenance of imaging metadata and identifiers during registration, query and retrieval, preventing unauthorised access or data corruption that could impact clinical safety. Access to the NIR is governed by NHS Identity authentication and role-based access control (RBAC) aligned to legitimate clinical roles. Legitimate relationship and purpose-of-use checks are enforced before imaging metadata can be viewed or retrieved. All user activity is fully audited and reviewed to detect inappropriate or anomalous access. Imaging pointers and associated metadata are transmitted and stored using secure, encrypted channels in line with NHS security standards.</w:t>
      </w:r>
    </w:p>
    <w:p w14:paraId="3D099D00" w14:textId="789F4917"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 Primary Safety Claim 3 – Reliable, Monitored and Resilient Service</w:t>
      </w:r>
    </w:p>
    <w:p w14:paraId="34D8E96F" w14:textId="77777777"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The NIR service is designed, tested and operated to ensure continuous availability and safe behaviour during partial failure, ensuring that loss or degradation of service does not compromise patient care. The system maintains defined Service Level Objectives (SLOs) for lookup latency, retrieval success rate and uptime, with continuous performance monitoring. High-availability (HA) and disaster-recovery (DR) mechanisms ensure rapid restoration of service following incidents. Automated monitoring and alerting detect pointer failures, endpoint errors or connectivity issues, enabling prompt remediation. Regular business continuity exercises and post-incident reviews are performed to validate resilience and inform safety learning.</w:t>
      </w:r>
    </w:p>
    <w:p w14:paraId="4D34C90F" w14:textId="1DD9E006"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 Primary Safety Claim 4 – Governance, Oversight and Continuous Improvement</w:t>
      </w:r>
    </w:p>
    <w:p w14:paraId="7D1233A4" w14:textId="4D2B0169"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The NIR operates within an established clinical governance framework that ensures effective risk management, incident learning and safety assurance throughout its lifecycle. Clinical safety activities are governed under the DCB0129 Clinical Risk Management Plan and Safety Case framework. A named Clinical Safety Officer oversees hazard identification, risk evaluation and residual risk acceptance. Safety-related incidents are logged, reviewed and trended through NHS England governance groups, with actions tracked to closure. Lessons learned from pilot deployments and user feedback are used to improve safety controls and inform DCB0160 site guidance continuously.</w:t>
      </w:r>
    </w:p>
    <w:p w14:paraId="3ABCA607" w14:textId="4E05A7E9" w:rsidR="0019006F" w:rsidRPr="00B3622E" w:rsidRDefault="0019006F" w:rsidP="006D5EAD">
      <w:pPr>
        <w:shd w:val="clear" w:color="auto" w:fill="FFFFFF"/>
        <w:spacing w:beforeAutospacing="1" w:after="0"/>
        <w:ind w:left="360"/>
        <w:textboxTightWrap w:val="none"/>
        <w:rPr>
          <w:rFonts w:ascii="Segoe UI" w:hAnsi="Segoe UI" w:cs="Segoe UI"/>
          <w:color w:val="auto"/>
          <w:lang w:eastAsia="en-GB"/>
        </w:rPr>
      </w:pPr>
      <w:r w:rsidRPr="00B3622E">
        <w:rPr>
          <w:rFonts w:cs="Arial"/>
          <w:color w:val="auto"/>
          <w:bdr w:val="none" w:sz="0" w:space="0" w:color="auto" w:frame="1"/>
          <w:lang w:eastAsia="en-GB"/>
        </w:rPr>
        <w:t> Primary Safety Claim 5 – Interoperable and Standards-Conformant Integration</w:t>
      </w:r>
    </w:p>
    <w:p w14:paraId="31C54F0F" w14:textId="3A04FC7B" w:rsidR="00C150F8" w:rsidRPr="00B3622E" w:rsidRDefault="0019006F" w:rsidP="00B42520">
      <w:pPr>
        <w:shd w:val="clear" w:color="auto" w:fill="FFFFFF"/>
        <w:spacing w:beforeAutospacing="1" w:after="0"/>
        <w:ind w:left="360"/>
        <w:textboxTightWrap w:val="none"/>
        <w:rPr>
          <w:rFonts w:cs="Arial"/>
          <w:color w:val="auto"/>
          <w:bdr w:val="none" w:sz="0" w:space="0" w:color="auto" w:frame="1"/>
          <w:lang w:eastAsia="en-GB"/>
        </w:rPr>
      </w:pPr>
      <w:r w:rsidRPr="00B3622E">
        <w:rPr>
          <w:rFonts w:cs="Arial"/>
          <w:color w:val="auto"/>
          <w:bdr w:val="none" w:sz="0" w:space="0" w:color="auto" w:frame="1"/>
          <w:lang w:eastAsia="en-GB"/>
        </w:rPr>
        <w:t>The NIR interacts safely and predictably with other NHS systems through standards-based interfaces, ensuring accurate data exchange and minimising clinical risk arising from interoperability failures. All integrations use IHE-compliant profiles (XDS-I, MHDS, FHIR) validated through structured conformance testing. Version control and regression testing detect and prevent profile drift or schema mismatch. Where interoperability issues arise, error codes and user messaging provide clear clinical guidance and escalation routes. Ongoing change-control processes ensure that new endpoints or software updates are assessed for safety impact before deployment.</w:t>
      </w:r>
    </w:p>
    <w:p w14:paraId="5CE1C4DB" w14:textId="77777777" w:rsidR="002A2988" w:rsidRDefault="002A2988" w:rsidP="00B42520">
      <w:pPr>
        <w:shd w:val="clear" w:color="auto" w:fill="FFFFFF"/>
        <w:spacing w:beforeAutospacing="1" w:after="0"/>
        <w:ind w:left="360"/>
        <w:textboxTightWrap w:val="none"/>
        <w:rPr>
          <w:rFonts w:cs="Arial"/>
          <w:color w:val="auto"/>
          <w:sz w:val="23"/>
          <w:szCs w:val="23"/>
          <w:bdr w:val="none" w:sz="0" w:space="0" w:color="auto" w:frame="1"/>
          <w:lang w:eastAsia="en-GB"/>
        </w:rPr>
      </w:pPr>
    </w:p>
    <w:p w14:paraId="2E050E95" w14:textId="6F9BCA30" w:rsidR="00DB7FE3" w:rsidRPr="00234254" w:rsidRDefault="005A229C" w:rsidP="00105D26">
      <w:pPr>
        <w:pStyle w:val="Heading2"/>
      </w:pPr>
      <w:bookmarkStart w:id="19" w:name="_Toc214870519"/>
      <w:r w:rsidRPr="00234254">
        <w:t>Solution</w:t>
      </w:r>
      <w:r w:rsidR="00DB7FE3" w:rsidRPr="00234254">
        <w:t xml:space="preserve"> Overview</w:t>
      </w:r>
      <w:r w:rsidR="008545B2" w:rsidRPr="00234254">
        <w:t xml:space="preserve"> &amp; Description</w:t>
      </w:r>
      <w:bookmarkEnd w:id="19"/>
    </w:p>
    <w:p w14:paraId="50290972" w14:textId="587ADA28" w:rsidR="00136BD0" w:rsidRPr="00B3622E" w:rsidRDefault="00136BD0" w:rsidP="00136BD0">
      <w:pPr>
        <w:rPr>
          <w:color w:val="auto"/>
        </w:rPr>
      </w:pPr>
      <w:r w:rsidRPr="00B3622E">
        <w:rPr>
          <w:color w:val="auto"/>
        </w:rPr>
        <w:t xml:space="preserve">This section describes the National Image Registry (NIR) technical and functional solution as implemented during </w:t>
      </w:r>
      <w:r w:rsidR="00F4082E" w:rsidRPr="00B3622E">
        <w:rPr>
          <w:rFonts w:asciiTheme="minorHAnsi" w:hAnsiTheme="minorHAnsi" w:cstheme="minorBidi"/>
          <w:color w:val="auto"/>
        </w:rPr>
        <w:t>Discovery &amp; Report Retrieval and Image retrieval for the XCA endpoint</w:t>
      </w:r>
      <w:r w:rsidRPr="00B3622E">
        <w:rPr>
          <w:color w:val="auto"/>
        </w:rPr>
        <w:t>.</w:t>
      </w:r>
      <w:r w:rsidRPr="00B3622E">
        <w:rPr>
          <w:color w:val="auto"/>
        </w:rPr>
        <w:br/>
        <w:t>It explains how the system operates within NHS England’s federated imaging ecosystem, summarises key architectural features, interoperability standards, and the resulting clinical and operational benefits.</w:t>
      </w:r>
    </w:p>
    <w:p w14:paraId="17B927AC" w14:textId="071C6881" w:rsidR="00BD158B" w:rsidRPr="00B3622E" w:rsidRDefault="00237316" w:rsidP="00BD158B">
      <w:pPr>
        <w:rPr>
          <w:color w:val="auto"/>
        </w:rPr>
      </w:pPr>
      <w:r w:rsidRPr="00B3622E">
        <w:rPr>
          <w:color w:val="auto"/>
        </w:rPr>
        <w:t>Component</w:t>
      </w:r>
      <w:r w:rsidR="00BD158B" w:rsidRPr="00B3622E">
        <w:rPr>
          <w:color w:val="auto"/>
        </w:rPr>
        <w:t xml:space="preserve"> 1 establishes foundational interoperability by enabling clients compliant with Cross-Community Access (XCA) to discover and retrieve clinical documents from federated responding gateways.</w:t>
      </w:r>
    </w:p>
    <w:p w14:paraId="3533B5D2" w14:textId="77777777" w:rsidR="00BD158B" w:rsidRPr="00B3622E" w:rsidRDefault="00BD158B" w:rsidP="00BD158B">
      <w:pPr>
        <w:numPr>
          <w:ilvl w:val="0"/>
          <w:numId w:val="68"/>
        </w:numPr>
        <w:rPr>
          <w:color w:val="auto"/>
        </w:rPr>
      </w:pPr>
      <w:r w:rsidRPr="00B3622E">
        <w:rPr>
          <w:color w:val="auto"/>
        </w:rPr>
        <w:t>Query Capability (ITI-38): Introduces the capability for an XCA-compliant client to query clinical documents stored across federated responding gateways. Queries utilize the IHE ITI-38 (Cross-Gateway Query) transaction, enabling distributed discovery of documents based on patient identity, document metadata, and other relevant criteria.</w:t>
      </w:r>
    </w:p>
    <w:p w14:paraId="1BD305F1" w14:textId="77777777" w:rsidR="00BD158B" w:rsidRPr="00B3622E" w:rsidRDefault="00BD158B" w:rsidP="00BD158B">
      <w:pPr>
        <w:numPr>
          <w:ilvl w:val="0"/>
          <w:numId w:val="68"/>
        </w:numPr>
        <w:rPr>
          <w:color w:val="auto"/>
        </w:rPr>
      </w:pPr>
      <w:r w:rsidRPr="00B3622E">
        <w:rPr>
          <w:color w:val="auto"/>
        </w:rPr>
        <w:t>Retrieve Capability (ITI-39): Provides the ability to retrieve clinical documents identified through federated queries (ITI-38). Retrieval is executed using the IHE ITI-39 (Cross-Gateway Retrieve) transaction. The solution routes retrieval requests to the appropriate responding gateway, collects the requested documents, and returns them in a format directly consumable by the requesting XCA-compliant client.</w:t>
      </w:r>
    </w:p>
    <w:p w14:paraId="0997C16D" w14:textId="6F805468" w:rsidR="00BD158B" w:rsidRPr="00B3622E" w:rsidRDefault="00BD158B" w:rsidP="00BD158B">
      <w:pPr>
        <w:numPr>
          <w:ilvl w:val="0"/>
          <w:numId w:val="68"/>
        </w:numPr>
        <w:rPr>
          <w:color w:val="auto"/>
        </w:rPr>
      </w:pPr>
      <w:r w:rsidRPr="00B3622E">
        <w:rPr>
          <w:color w:val="auto"/>
        </w:rPr>
        <w:t xml:space="preserve">Imaging Considerations: In this </w:t>
      </w:r>
      <w:r w:rsidR="00237316" w:rsidRPr="00B3622E">
        <w:rPr>
          <w:color w:val="auto"/>
        </w:rPr>
        <w:t>Component</w:t>
      </w:r>
      <w:r w:rsidRPr="00B3622E">
        <w:rPr>
          <w:color w:val="auto"/>
        </w:rPr>
        <w:t xml:space="preserve">, retrieval is primarily focused on clinical documents, imaging retrieval is not supported by NIR until Image Retrieval </w:t>
      </w:r>
      <w:r w:rsidR="00237316" w:rsidRPr="00B3622E">
        <w:rPr>
          <w:color w:val="auto"/>
        </w:rPr>
        <w:t>component</w:t>
      </w:r>
      <w:r w:rsidRPr="00B3622E">
        <w:rPr>
          <w:color w:val="auto"/>
        </w:rPr>
        <w:t>s. </w:t>
      </w:r>
    </w:p>
    <w:p w14:paraId="1DE42208" w14:textId="77777777" w:rsidR="00BD158B" w:rsidRPr="00B3622E" w:rsidRDefault="00BD158B" w:rsidP="00BD158B">
      <w:pPr>
        <w:numPr>
          <w:ilvl w:val="0"/>
          <w:numId w:val="68"/>
        </w:numPr>
        <w:rPr>
          <w:color w:val="auto"/>
        </w:rPr>
      </w:pPr>
      <w:r w:rsidRPr="00B3622E">
        <w:rPr>
          <w:color w:val="auto"/>
        </w:rPr>
        <w:t>Security Considerations: Security model is based on IHE standards including WS-Security, SAML assertions, and XUA for authenticated and authorized access across gateways.</w:t>
      </w:r>
    </w:p>
    <w:p w14:paraId="10B06BB1" w14:textId="3BEE596A" w:rsidR="005E7F69" w:rsidRDefault="00BD158B" w:rsidP="00136BD0">
      <w:pPr>
        <w:rPr>
          <w:color w:val="auto"/>
        </w:rPr>
      </w:pPr>
      <w:r w:rsidRPr="00BD158B">
        <w:rPr>
          <w:noProof/>
          <w:color w:val="auto"/>
        </w:rPr>
        <w:drawing>
          <wp:inline distT="0" distB="0" distL="0" distR="0" wp14:anchorId="41E91ACA" wp14:editId="232957CD">
            <wp:extent cx="6328039" cy="2943225"/>
            <wp:effectExtent l="0" t="0" r="0" b="0"/>
            <wp:docPr id="787463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463421" name=""/>
                    <pic:cNvPicPr/>
                  </pic:nvPicPr>
                  <pic:blipFill rotWithShape="1">
                    <a:blip r:embed="rId39">
                      <a:extLst>
                        <a:ext uri="{BEBA8EAE-BF5A-486C-A8C5-ECC9F3942E4B}">
                          <a14:imgProps xmlns:a14="http://schemas.microsoft.com/office/drawing/2010/main">
                            <a14:imgLayer r:embed="rId40">
                              <a14:imgEffect>
                                <a14:brightnessContrast contrast="-20000"/>
                              </a14:imgEffect>
                            </a14:imgLayer>
                          </a14:imgProps>
                        </a:ext>
                      </a:extLst>
                    </a:blip>
                    <a:srcRect r="8895" b="9215"/>
                    <a:stretch>
                      <a:fillRect/>
                    </a:stretch>
                  </pic:blipFill>
                  <pic:spPr bwMode="auto">
                    <a:xfrm>
                      <a:off x="0" y="0"/>
                      <a:ext cx="6341377" cy="2949428"/>
                    </a:xfrm>
                    <a:prstGeom prst="rect">
                      <a:avLst/>
                    </a:prstGeom>
                    <a:ln>
                      <a:noFill/>
                    </a:ln>
                    <a:extLst>
                      <a:ext uri="{53640926-AAD7-44D8-BBD7-CCE9431645EC}">
                        <a14:shadowObscured xmlns:a14="http://schemas.microsoft.com/office/drawing/2010/main"/>
                      </a:ext>
                    </a:extLst>
                  </pic:spPr>
                </pic:pic>
              </a:graphicData>
            </a:graphic>
          </wp:inline>
        </w:drawing>
      </w:r>
    </w:p>
    <w:p w14:paraId="463EC54A" w14:textId="77777777" w:rsidR="00E60FF7" w:rsidRDefault="00E60FF7" w:rsidP="00136BD0">
      <w:pPr>
        <w:rPr>
          <w:color w:val="auto"/>
        </w:rPr>
      </w:pPr>
    </w:p>
    <w:p w14:paraId="04E38E07" w14:textId="3BCDC28A" w:rsidR="00E60FF7" w:rsidRDefault="00E60FF7" w:rsidP="00E60FF7">
      <w:pPr>
        <w:pStyle w:val="Caption"/>
        <w:keepNext/>
        <w:jc w:val="center"/>
      </w:pPr>
      <w:bookmarkStart w:id="20" w:name="_Hlk214465509"/>
      <w:bookmarkStart w:id="21" w:name="_Toc214376924"/>
      <w:r w:rsidRPr="00BD7FB4">
        <w:t xml:space="preserve">Figure </w:t>
      </w:r>
      <w:r>
        <w:fldChar w:fldCharType="begin"/>
      </w:r>
      <w:r>
        <w:instrText>SEQ Figure \* ARABIC</w:instrText>
      </w:r>
      <w:r>
        <w:fldChar w:fldCharType="separate"/>
      </w:r>
      <w:r w:rsidR="00135778">
        <w:rPr>
          <w:noProof/>
        </w:rPr>
        <w:t>1</w:t>
      </w:r>
      <w:r>
        <w:fldChar w:fldCharType="end"/>
      </w:r>
      <w:r w:rsidRPr="00BD7FB4">
        <w:t xml:space="preserve"> - </w:t>
      </w:r>
      <w:bookmarkEnd w:id="20"/>
      <w:r w:rsidR="00EB038D" w:rsidRPr="00EB038D">
        <w:t>High-Level NIR Architecture Overview</w:t>
      </w:r>
      <w:r w:rsidR="00160E70">
        <w:t xml:space="preserve"> for Private Beta</w:t>
      </w:r>
      <w:r w:rsidR="00EB038D" w:rsidRPr="00EB038D">
        <w:t xml:space="preserve"> – showing the federated model, registry gateway, local PACS/VNAs, and national interfaces such as the National Record Locator</w:t>
      </w:r>
      <w:bookmarkEnd w:id="21"/>
    </w:p>
    <w:p w14:paraId="555DD4C6" w14:textId="520E16EE" w:rsidR="00BD158B" w:rsidRPr="00135778" w:rsidRDefault="00237316" w:rsidP="00BD158B">
      <w:pPr>
        <w:rPr>
          <w:color w:val="auto"/>
        </w:rPr>
      </w:pPr>
      <w:r>
        <w:rPr>
          <w:color w:val="auto"/>
        </w:rPr>
        <w:t>Component</w:t>
      </w:r>
      <w:r w:rsidR="00BD158B" w:rsidRPr="00135778">
        <w:rPr>
          <w:color w:val="auto"/>
        </w:rPr>
        <w:t xml:space="preserve"> 6</w:t>
      </w:r>
      <w:r w:rsidR="00135778" w:rsidRPr="00135778">
        <w:rPr>
          <w:color w:val="auto"/>
        </w:rPr>
        <w:t xml:space="preserve"> introduces the WADO-WS–based retrieval workflow and supporting components required for manifest-driven access to imaging objects.</w:t>
      </w:r>
    </w:p>
    <w:p w14:paraId="221F8276" w14:textId="2AAD4C88" w:rsidR="00BD158B" w:rsidRPr="00135778" w:rsidRDefault="00BD158B" w:rsidP="00BD158B">
      <w:pPr>
        <w:numPr>
          <w:ilvl w:val="0"/>
          <w:numId w:val="69"/>
        </w:numPr>
        <w:rPr>
          <w:color w:val="auto"/>
        </w:rPr>
      </w:pPr>
      <w:r w:rsidRPr="00135778">
        <w:rPr>
          <w:color w:val="auto"/>
        </w:rPr>
        <w:lastRenderedPageBreak/>
        <w:t>WADO-WS Support (DICOM SOAP Services): Clients use WADO-WS to request specific DICOM objects (Study/Series/Instance) identified via KOS documents.</w:t>
      </w:r>
    </w:p>
    <w:p w14:paraId="2DDCA20A" w14:textId="77777777" w:rsidR="00BD158B" w:rsidRPr="00135778" w:rsidRDefault="00BD158B" w:rsidP="00BD158B">
      <w:pPr>
        <w:numPr>
          <w:ilvl w:val="0"/>
          <w:numId w:val="69"/>
        </w:numPr>
        <w:rPr>
          <w:color w:val="auto"/>
        </w:rPr>
      </w:pPr>
      <w:r w:rsidRPr="00135778">
        <w:rPr>
          <w:color w:val="auto"/>
        </w:rPr>
        <w:t>Manifest-Driven Retrieval: Retrieval is initiated by first querying and retrieving a KOS manifest. The manifest includes the relevant UIDs and WADO-WS endpoint(s) needed to retrieve the pixel data.</w:t>
      </w:r>
    </w:p>
    <w:p w14:paraId="044123D1" w14:textId="77777777" w:rsidR="00BD158B" w:rsidRPr="00135778" w:rsidRDefault="00BD158B" w:rsidP="00BD158B">
      <w:pPr>
        <w:numPr>
          <w:ilvl w:val="0"/>
          <w:numId w:val="69"/>
        </w:numPr>
        <w:rPr>
          <w:color w:val="auto"/>
        </w:rPr>
      </w:pPr>
      <w:r w:rsidRPr="00135778">
        <w:rPr>
          <w:color w:val="auto"/>
        </w:rPr>
        <w:t>Proxy Layer Implementation: A proxy is introduced to mediate WADO-WS requests. It handles request routing, endpoint resolution, and ensures logging and observability across imaging flows. However, the proxy does not alter the WADO-WS protocol or perform content transformation.</w:t>
      </w:r>
    </w:p>
    <w:p w14:paraId="5207B5A8" w14:textId="77777777" w:rsidR="00BD158B" w:rsidRPr="00135778" w:rsidRDefault="00BD158B" w:rsidP="00BD158B">
      <w:pPr>
        <w:numPr>
          <w:ilvl w:val="0"/>
          <w:numId w:val="69"/>
        </w:numPr>
        <w:rPr>
          <w:color w:val="auto"/>
        </w:rPr>
      </w:pPr>
      <w:r w:rsidRPr="00135778">
        <w:rPr>
          <w:color w:val="auto"/>
        </w:rPr>
        <w:t>Security Considerations (SOAP-based): Unlike FHIR-based interactions secured via OAuth2, WADO-WS follows WS-Security standards. This typically involves X.509 certificates, message signing, and encryption, depending on the security policy of the responding imaging gateway. The proxy must support these mechanisms as required but operates separately from the OAuth-based flow used for FHIR.</w:t>
      </w:r>
    </w:p>
    <w:p w14:paraId="0CD0D8BC" w14:textId="77777777" w:rsidR="00BD158B" w:rsidRPr="00135778" w:rsidRDefault="00BD158B" w:rsidP="00BD158B">
      <w:pPr>
        <w:numPr>
          <w:ilvl w:val="0"/>
          <w:numId w:val="69"/>
        </w:numPr>
        <w:rPr>
          <w:color w:val="auto"/>
        </w:rPr>
      </w:pPr>
      <w:r w:rsidRPr="00135778">
        <w:rPr>
          <w:color w:val="auto"/>
        </w:rPr>
        <w:t>Client Responsibility: Clients must be capable of parsing the manifest, understanding the WADO-WS endpoints provided, and issuing compliant SOAP requests. The system assumes that client applications are already capable of consuming WADO-WS responses.</w:t>
      </w:r>
    </w:p>
    <w:p w14:paraId="5D7869FC" w14:textId="46CE579B" w:rsidR="00BD158B" w:rsidRDefault="00BD158B" w:rsidP="00BD158B">
      <w:pPr>
        <w:rPr>
          <w:color w:val="auto"/>
        </w:rPr>
      </w:pPr>
      <w:r w:rsidRPr="00BD158B">
        <w:rPr>
          <w:noProof/>
          <w:color w:val="auto"/>
        </w:rPr>
        <w:drawing>
          <wp:inline distT="0" distB="0" distL="0" distR="0" wp14:anchorId="7503A900" wp14:editId="586E6383">
            <wp:extent cx="6263640" cy="1236725"/>
            <wp:effectExtent l="0" t="0" r="3810" b="1905"/>
            <wp:docPr id="293592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92589" name=""/>
                    <pic:cNvPicPr/>
                  </pic:nvPicPr>
                  <pic:blipFill rotWithShape="1">
                    <a:blip r:embed="rId41"/>
                    <a:srcRect t="-2938"/>
                    <a:stretch>
                      <a:fillRect/>
                    </a:stretch>
                  </pic:blipFill>
                  <pic:spPr bwMode="auto">
                    <a:xfrm>
                      <a:off x="0" y="0"/>
                      <a:ext cx="6263640" cy="1236725"/>
                    </a:xfrm>
                    <a:prstGeom prst="rect">
                      <a:avLst/>
                    </a:prstGeom>
                    <a:ln>
                      <a:noFill/>
                    </a:ln>
                    <a:extLst>
                      <a:ext uri="{53640926-AAD7-44D8-BBD7-CCE9431645EC}">
                        <a14:shadowObscured xmlns:a14="http://schemas.microsoft.com/office/drawing/2010/main"/>
                      </a:ext>
                    </a:extLst>
                  </pic:spPr>
                </pic:pic>
              </a:graphicData>
            </a:graphic>
          </wp:inline>
        </w:drawing>
      </w:r>
    </w:p>
    <w:p w14:paraId="3444E1D4" w14:textId="69BD4DBA" w:rsidR="00BD158B" w:rsidRPr="00135778" w:rsidRDefault="00135778" w:rsidP="00135778">
      <w:pPr>
        <w:pStyle w:val="Caption"/>
        <w:keepNext/>
        <w:jc w:val="center"/>
      </w:pPr>
      <w:r w:rsidRPr="00BD7FB4">
        <w:t xml:space="preserve">Figure </w:t>
      </w:r>
      <w:r>
        <w:fldChar w:fldCharType="begin"/>
      </w:r>
      <w:r>
        <w:instrText>SEQ Figure \* ARABIC</w:instrText>
      </w:r>
      <w:r>
        <w:fldChar w:fldCharType="separate"/>
      </w:r>
      <w:r>
        <w:rPr>
          <w:noProof/>
        </w:rPr>
        <w:t>2</w:t>
      </w:r>
      <w:r>
        <w:fldChar w:fldCharType="end"/>
      </w:r>
      <w:r w:rsidRPr="00BD7FB4">
        <w:t xml:space="preserve"> - </w:t>
      </w:r>
      <w:r w:rsidRPr="00EB038D">
        <w:t xml:space="preserve">High-Level NIR </w:t>
      </w:r>
      <w:r>
        <w:t>Image Retrieval Workflow</w:t>
      </w:r>
    </w:p>
    <w:p w14:paraId="7B90383A" w14:textId="77777777" w:rsidR="00E60FF7" w:rsidRPr="00234254" w:rsidRDefault="00E60FF7" w:rsidP="00136BD0">
      <w:pPr>
        <w:rPr>
          <w:color w:val="auto"/>
        </w:rPr>
      </w:pPr>
    </w:p>
    <w:p w14:paraId="598F904F" w14:textId="3AC8ABD2" w:rsidR="00136BD0" w:rsidRDefault="00136BD0" w:rsidP="00B3622E">
      <w:pPr>
        <w:pStyle w:val="Heading3"/>
      </w:pPr>
      <w:r w:rsidRPr="00B3622E">
        <w:t>Overview</w:t>
      </w:r>
    </w:p>
    <w:p w14:paraId="4FB80555" w14:textId="77777777" w:rsidR="00B3622E" w:rsidRPr="00B3622E" w:rsidRDefault="00B3622E" w:rsidP="00B3622E"/>
    <w:p w14:paraId="73A01464" w14:textId="2FC74A5B" w:rsidR="00136BD0" w:rsidRPr="00B3622E" w:rsidRDefault="00136BD0" w:rsidP="00136BD0">
      <w:pPr>
        <w:rPr>
          <w:color w:val="auto"/>
        </w:rPr>
      </w:pPr>
      <w:r w:rsidRPr="00B3622E">
        <w:rPr>
          <w:color w:val="auto"/>
        </w:rPr>
        <w:t>The NIR provides a national discovery and retrieval framework for diagnostic imaging data across the NHS.</w:t>
      </w:r>
      <w:r w:rsidRPr="00B3622E">
        <w:rPr>
          <w:color w:val="auto"/>
        </w:rPr>
        <w:br/>
        <w:t>It replaces the legacy Image Exchange Portal (IEP) with a modern federated registry, ensuring clinicians can identify and retrieve imaging studies performed anywhere in England without creating duplicate image copies.</w:t>
      </w:r>
      <w:r w:rsidRPr="00B3622E">
        <w:rPr>
          <w:color w:val="auto"/>
        </w:rPr>
        <w:br/>
        <w:t xml:space="preserve">Under </w:t>
      </w:r>
      <w:r w:rsidR="00BD158B" w:rsidRPr="00B3622E">
        <w:rPr>
          <w:b/>
          <w:bCs/>
          <w:color w:val="auto"/>
        </w:rPr>
        <w:t>Alpha</w:t>
      </w:r>
      <w:r w:rsidRPr="00B3622E">
        <w:rPr>
          <w:color w:val="auto"/>
        </w:rPr>
        <w:t xml:space="preserve">, the foundational architecture was established and validated with early-adopter </w:t>
      </w:r>
      <w:r w:rsidR="000B4F22">
        <w:rPr>
          <w:color w:val="auto"/>
        </w:rPr>
        <w:t>providers / organisations</w:t>
      </w:r>
      <w:r w:rsidRPr="00B3622E">
        <w:rPr>
          <w:color w:val="auto"/>
        </w:rPr>
        <w:t>.</w:t>
      </w:r>
      <w:r w:rsidRPr="00B3622E">
        <w:rPr>
          <w:color w:val="auto"/>
        </w:rPr>
        <w:br/>
        <w:t xml:space="preserve">Under </w:t>
      </w:r>
      <w:r w:rsidR="00BD158B" w:rsidRPr="00B3622E">
        <w:rPr>
          <w:b/>
          <w:bCs/>
          <w:color w:val="auto"/>
        </w:rPr>
        <w:t>Private Beta</w:t>
      </w:r>
      <w:r w:rsidRPr="00B3622E">
        <w:rPr>
          <w:color w:val="auto"/>
        </w:rPr>
        <w:t xml:space="preserve">, this architecture is </w:t>
      </w:r>
      <w:r w:rsidR="00BD158B" w:rsidRPr="00B3622E">
        <w:rPr>
          <w:color w:val="auto"/>
        </w:rPr>
        <w:t xml:space="preserve">being </w:t>
      </w:r>
      <w:r w:rsidRPr="00B3622E">
        <w:rPr>
          <w:color w:val="auto"/>
        </w:rPr>
        <w:t xml:space="preserve">scaled to a </w:t>
      </w:r>
      <w:r w:rsidRPr="00B3622E">
        <w:rPr>
          <w:b/>
          <w:bCs/>
          <w:color w:val="auto"/>
        </w:rPr>
        <w:t>national operational service</w:t>
      </w:r>
      <w:r w:rsidRPr="00B3622E">
        <w:rPr>
          <w:color w:val="auto"/>
        </w:rPr>
        <w:t xml:space="preserve">, connecting all </w:t>
      </w:r>
      <w:r w:rsidR="000B4F22">
        <w:rPr>
          <w:color w:val="auto"/>
        </w:rPr>
        <w:t>providers / organisations</w:t>
      </w:r>
      <w:r w:rsidRPr="00B3622E">
        <w:rPr>
          <w:color w:val="auto"/>
        </w:rPr>
        <w:t xml:space="preserve"> and standardising metadata management.</w:t>
      </w:r>
    </w:p>
    <w:p w14:paraId="5F3B3D88" w14:textId="469AED3B" w:rsidR="00136BD0" w:rsidRPr="00B3622E" w:rsidRDefault="00BD158B" w:rsidP="00136BD0">
      <w:pPr>
        <w:rPr>
          <w:color w:val="auto"/>
        </w:rPr>
      </w:pPr>
      <w:r w:rsidRPr="00B3622E">
        <w:rPr>
          <w:color w:val="auto"/>
        </w:rPr>
        <w:t xml:space="preserve">Private Beta will include iterative enhancements of this </w:t>
      </w:r>
      <w:r w:rsidR="00136BD0" w:rsidRPr="00B3622E">
        <w:rPr>
          <w:color w:val="auto"/>
        </w:rPr>
        <w:t>foundation</w:t>
      </w:r>
      <w:r w:rsidRPr="00B3622E">
        <w:rPr>
          <w:color w:val="auto"/>
        </w:rPr>
        <w:t xml:space="preserve"> product </w:t>
      </w:r>
      <w:r w:rsidR="00136BD0" w:rsidRPr="00B3622E">
        <w:rPr>
          <w:color w:val="auto"/>
        </w:rPr>
        <w:t>through improved interoperability, observability, and analytics functions.</w:t>
      </w:r>
      <w:r w:rsidR="00136BD0" w:rsidRPr="00B3622E">
        <w:rPr>
          <w:color w:val="auto"/>
        </w:rPr>
        <w:br/>
        <w:t xml:space="preserve">Those components are </w:t>
      </w:r>
      <w:r w:rsidR="00136BD0" w:rsidRPr="00B3622E">
        <w:rPr>
          <w:b/>
          <w:bCs/>
          <w:color w:val="auto"/>
        </w:rPr>
        <w:t>out of scope for this safety case</w:t>
      </w:r>
      <w:r w:rsidR="00136BD0" w:rsidRPr="00B3622E">
        <w:rPr>
          <w:color w:val="auto"/>
        </w:rPr>
        <w:t xml:space="preserve"> but will be referenced in later updates to the </w:t>
      </w:r>
      <w:r w:rsidRPr="00B3622E">
        <w:rPr>
          <w:color w:val="auto"/>
        </w:rPr>
        <w:t>CSCR</w:t>
      </w:r>
      <w:r w:rsidR="00136BD0" w:rsidRPr="00B3622E">
        <w:rPr>
          <w:color w:val="auto"/>
        </w:rPr>
        <w:t xml:space="preserve"> as each phase undergoes safety review</w:t>
      </w:r>
      <w:r w:rsidR="00237316" w:rsidRPr="00B3622E">
        <w:rPr>
          <w:color w:val="auto"/>
        </w:rPr>
        <w:t xml:space="preserve"> for national approval</w:t>
      </w:r>
      <w:r w:rsidR="00136BD0" w:rsidRPr="00B3622E">
        <w:rPr>
          <w:color w:val="auto"/>
        </w:rPr>
        <w:t>.</w:t>
      </w:r>
    </w:p>
    <w:p w14:paraId="6C78F3E6" w14:textId="1FDBFFD7" w:rsidR="00136BD0" w:rsidRPr="00234254" w:rsidRDefault="00136BD0" w:rsidP="00B3622E">
      <w:pPr>
        <w:pStyle w:val="Heading3"/>
      </w:pPr>
      <w:r w:rsidRPr="00234254">
        <w:lastRenderedPageBreak/>
        <w:t>Architecture and Data Management</w:t>
      </w:r>
    </w:p>
    <w:p w14:paraId="7A2052C3" w14:textId="77777777" w:rsidR="00CF11FB" w:rsidRDefault="00CF11FB" w:rsidP="00CF11FB">
      <w:bookmarkStart w:id="22" w:name="_Hlk213776633"/>
      <w:bookmarkStart w:id="23" w:name="_Toc214376925"/>
      <w:r w:rsidRPr="002E78D9">
        <w:rPr>
          <w:noProof/>
          <w:color w:val="auto"/>
        </w:rPr>
        <w:drawing>
          <wp:inline distT="0" distB="0" distL="0" distR="0" wp14:anchorId="1C9A6F3D" wp14:editId="3A6874AE">
            <wp:extent cx="5709222" cy="4524430"/>
            <wp:effectExtent l="0" t="0" r="6350" b="0"/>
            <wp:docPr id="19589279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6301" cy="4537964"/>
                    </a:xfrm>
                    <a:prstGeom prst="rect">
                      <a:avLst/>
                    </a:prstGeom>
                    <a:noFill/>
                    <a:ln>
                      <a:noFill/>
                    </a:ln>
                  </pic:spPr>
                </pic:pic>
              </a:graphicData>
            </a:graphic>
          </wp:inline>
        </w:drawing>
      </w:r>
    </w:p>
    <w:p w14:paraId="2C7AA6AC" w14:textId="392659A5" w:rsidR="00CF11FB" w:rsidRPr="00160E70" w:rsidRDefault="00160E70" w:rsidP="00160E70">
      <w:pPr>
        <w:pStyle w:val="Caption"/>
        <w:keepNext/>
        <w:jc w:val="center"/>
      </w:pPr>
      <w:r w:rsidRPr="00BD7FB4">
        <w:t xml:space="preserve">Figure </w:t>
      </w:r>
      <w:r>
        <w:fldChar w:fldCharType="begin"/>
      </w:r>
      <w:r>
        <w:instrText>SEQ Figure \* ARABIC</w:instrText>
      </w:r>
      <w:r>
        <w:fldChar w:fldCharType="separate"/>
      </w:r>
      <w:r w:rsidR="00135778">
        <w:rPr>
          <w:noProof/>
        </w:rPr>
        <w:t>3</w:t>
      </w:r>
      <w:r>
        <w:fldChar w:fldCharType="end"/>
      </w:r>
      <w:r w:rsidRPr="00BD7FB4">
        <w:t xml:space="preserve"> - </w:t>
      </w:r>
      <w:r w:rsidRPr="00160E70">
        <w:t xml:space="preserve">NIR High Level </w:t>
      </w:r>
      <w:r w:rsidR="00CF11FB" w:rsidRPr="00160E70">
        <w:t xml:space="preserve">Architecture </w:t>
      </w:r>
    </w:p>
    <w:p w14:paraId="213F5FBA" w14:textId="2A6C4B87" w:rsidR="005B2E54" w:rsidRDefault="005B2E54" w:rsidP="00CF11FB">
      <w:pPr>
        <w:rPr>
          <w:highlight w:val="yellow"/>
        </w:rPr>
      </w:pPr>
      <w:r w:rsidRPr="005B2E54">
        <w:rPr>
          <w:noProof/>
        </w:rPr>
        <w:drawing>
          <wp:inline distT="0" distB="0" distL="0" distR="0" wp14:anchorId="179A3850" wp14:editId="01235474">
            <wp:extent cx="5756643" cy="3351039"/>
            <wp:effectExtent l="0" t="0" r="0" b="1905"/>
            <wp:docPr id="661476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476347" name=""/>
                    <pic:cNvPicPr/>
                  </pic:nvPicPr>
                  <pic:blipFill>
                    <a:blip r:embed="rId43"/>
                    <a:stretch>
                      <a:fillRect/>
                    </a:stretch>
                  </pic:blipFill>
                  <pic:spPr>
                    <a:xfrm>
                      <a:off x="0" y="0"/>
                      <a:ext cx="5774163" cy="3361238"/>
                    </a:xfrm>
                    <a:prstGeom prst="rect">
                      <a:avLst/>
                    </a:prstGeom>
                  </pic:spPr>
                </pic:pic>
              </a:graphicData>
            </a:graphic>
          </wp:inline>
        </w:drawing>
      </w:r>
    </w:p>
    <w:p w14:paraId="7731A02F" w14:textId="79FFF97A" w:rsidR="00136BD0" w:rsidRPr="005E7F69" w:rsidRDefault="00E60FF7" w:rsidP="00160E70">
      <w:pPr>
        <w:pStyle w:val="Caption"/>
        <w:keepNext/>
        <w:jc w:val="center"/>
      </w:pPr>
      <w:r w:rsidRPr="00160E70">
        <w:t xml:space="preserve">Figure </w:t>
      </w:r>
      <w:r w:rsidRPr="00160E70">
        <w:fldChar w:fldCharType="begin"/>
      </w:r>
      <w:r w:rsidRPr="00160E70">
        <w:instrText>SEQ Figure \* ARABIC</w:instrText>
      </w:r>
      <w:r w:rsidRPr="00160E70">
        <w:fldChar w:fldCharType="separate"/>
      </w:r>
      <w:r w:rsidR="00160E70">
        <w:rPr>
          <w:noProof/>
        </w:rPr>
        <w:t>3</w:t>
      </w:r>
      <w:r w:rsidRPr="00160E70">
        <w:fldChar w:fldCharType="end"/>
      </w:r>
      <w:r w:rsidRPr="00160E70">
        <w:t xml:space="preserve"> - </w:t>
      </w:r>
      <w:bookmarkEnd w:id="22"/>
      <w:r w:rsidR="00136BD0" w:rsidRPr="00160E70">
        <w:t>Federated Data Flow Diagram – showing local PACS/VNAs, the NIR Gateway, metadata registry, and clinician access paths.</w:t>
      </w:r>
      <w:bookmarkEnd w:id="23"/>
    </w:p>
    <w:p w14:paraId="76FD2D13" w14:textId="77777777" w:rsidR="00135778" w:rsidRDefault="00135778" w:rsidP="00136BD0">
      <w:pPr>
        <w:rPr>
          <w:color w:val="auto"/>
        </w:rPr>
      </w:pPr>
    </w:p>
    <w:p w14:paraId="45DB1EFD" w14:textId="46BA5FE2" w:rsidR="00136BD0" w:rsidRPr="00234254" w:rsidRDefault="00136BD0" w:rsidP="00136BD0">
      <w:pPr>
        <w:rPr>
          <w:color w:val="auto"/>
        </w:rPr>
      </w:pPr>
      <w:r w:rsidRPr="00234254">
        <w:rPr>
          <w:color w:val="auto"/>
        </w:rPr>
        <w:lastRenderedPageBreak/>
        <w:t xml:space="preserve">The NIR follows </w:t>
      </w:r>
      <w:r w:rsidRPr="000E57A7">
        <w:rPr>
          <w:color w:val="auto"/>
        </w:rPr>
        <w:t>a federated architectural model that</w:t>
      </w:r>
      <w:r w:rsidRPr="00234254">
        <w:rPr>
          <w:color w:val="auto"/>
        </w:rPr>
        <w:t xml:space="preserve"> prioritises patient data security, system resilience, and clinical accuracy:</w:t>
      </w:r>
    </w:p>
    <w:p w14:paraId="0240A9C1" w14:textId="77777777" w:rsidR="00136BD0" w:rsidRPr="00234254" w:rsidRDefault="00136BD0" w:rsidP="00143DD5">
      <w:pPr>
        <w:numPr>
          <w:ilvl w:val="0"/>
          <w:numId w:val="29"/>
        </w:numPr>
        <w:rPr>
          <w:color w:val="auto"/>
        </w:rPr>
      </w:pPr>
      <w:r w:rsidRPr="00234254">
        <w:rPr>
          <w:b/>
          <w:bCs/>
          <w:color w:val="auto"/>
        </w:rPr>
        <w:t>Federated Model</w:t>
      </w:r>
      <w:r w:rsidRPr="00234254">
        <w:rPr>
          <w:color w:val="auto"/>
        </w:rPr>
        <w:t xml:space="preserve"> – Diagnostic images remain stored </w:t>
      </w:r>
      <w:r w:rsidRPr="000E57A7">
        <w:rPr>
          <w:color w:val="auto"/>
        </w:rPr>
        <w:t>in local or regional PACS/VNA systems managed by NHS Trusts. The NIR does not h</w:t>
      </w:r>
      <w:r w:rsidRPr="00234254">
        <w:rPr>
          <w:color w:val="auto"/>
        </w:rPr>
        <w:t>ost clinical image data centrally; instead, it indexes metadata and pointers describing where those images reside.</w:t>
      </w:r>
    </w:p>
    <w:p w14:paraId="05BCFC6D" w14:textId="4A4B7472" w:rsidR="00136BD0" w:rsidRPr="00234254" w:rsidRDefault="00136BD0" w:rsidP="00143DD5">
      <w:pPr>
        <w:numPr>
          <w:ilvl w:val="0"/>
          <w:numId w:val="29"/>
        </w:numPr>
        <w:rPr>
          <w:color w:val="auto"/>
        </w:rPr>
      </w:pPr>
      <w:r w:rsidRPr="00234254">
        <w:rPr>
          <w:b/>
          <w:bCs/>
          <w:color w:val="auto"/>
        </w:rPr>
        <w:t xml:space="preserve">Central Image Retrieval </w:t>
      </w:r>
      <w:r w:rsidRPr="00135778">
        <w:rPr>
          <w:b/>
          <w:bCs/>
          <w:color w:val="auto"/>
        </w:rPr>
        <w:t>Gateway</w:t>
      </w:r>
      <w:r w:rsidRPr="00135778">
        <w:rPr>
          <w:color w:val="auto"/>
        </w:rPr>
        <w:t xml:space="preserve"> – Acts as the national </w:t>
      </w:r>
      <w:r w:rsidR="005B2E54" w:rsidRPr="00135778">
        <w:rPr>
          <w:color w:val="auto"/>
        </w:rPr>
        <w:t>proxy service</w:t>
      </w:r>
      <w:r w:rsidRPr="00135778">
        <w:rPr>
          <w:color w:val="auto"/>
        </w:rPr>
        <w:t xml:space="preserve"> for</w:t>
      </w:r>
      <w:r w:rsidR="005B2E54" w:rsidRPr="00135778">
        <w:rPr>
          <w:color w:val="auto"/>
        </w:rPr>
        <w:t xml:space="preserve"> patient history </w:t>
      </w:r>
      <w:r w:rsidRPr="00135778">
        <w:rPr>
          <w:color w:val="auto"/>
        </w:rPr>
        <w:t xml:space="preserve">discovery and </w:t>
      </w:r>
      <w:r w:rsidR="00135778">
        <w:rPr>
          <w:color w:val="auto"/>
        </w:rPr>
        <w:t>report/image</w:t>
      </w:r>
      <w:r w:rsidR="005B2E54" w:rsidRPr="00135778">
        <w:rPr>
          <w:color w:val="auto"/>
        </w:rPr>
        <w:t xml:space="preserve"> </w:t>
      </w:r>
      <w:r w:rsidRPr="00135778">
        <w:rPr>
          <w:color w:val="auto"/>
        </w:rPr>
        <w:t>retrieval, providing</w:t>
      </w:r>
      <w:r w:rsidRPr="00234254">
        <w:rPr>
          <w:color w:val="auto"/>
        </w:rPr>
        <w:t xml:space="preserve"> </w:t>
      </w:r>
      <w:r w:rsidRPr="000E57A7">
        <w:rPr>
          <w:color w:val="auto"/>
        </w:rPr>
        <w:t>the capability to route authenticated requests to the correct regional repository. This gateway replaces the legacy Image Exchange Portal (IEP).</w:t>
      </w:r>
    </w:p>
    <w:p w14:paraId="3E2C94A0" w14:textId="367F9E1B" w:rsidR="00136BD0" w:rsidRPr="00234254" w:rsidRDefault="00136BD0" w:rsidP="00143DD5">
      <w:pPr>
        <w:numPr>
          <w:ilvl w:val="0"/>
          <w:numId w:val="29"/>
        </w:numPr>
        <w:rPr>
          <w:color w:val="auto"/>
        </w:rPr>
      </w:pPr>
      <w:r w:rsidRPr="00234254">
        <w:rPr>
          <w:b/>
          <w:bCs/>
          <w:color w:val="auto"/>
        </w:rPr>
        <w:t>Single Source of Truth</w:t>
      </w:r>
      <w:r w:rsidRPr="00234254">
        <w:rPr>
          <w:color w:val="auto"/>
        </w:rPr>
        <w:t xml:space="preserve"> – Each study remains in its source system, preventing inconsistent or conflicting copies. The </w:t>
      </w:r>
      <w:r w:rsidR="005B2E54">
        <w:rPr>
          <w:color w:val="auto"/>
        </w:rPr>
        <w:t>NIR</w:t>
      </w:r>
      <w:r w:rsidRPr="00234254">
        <w:rPr>
          <w:color w:val="auto"/>
        </w:rPr>
        <w:t xml:space="preserve"> ensures that any retrieval request always resolves to the authoritative image instance.</w:t>
      </w:r>
    </w:p>
    <w:p w14:paraId="4F4EA358" w14:textId="77777777" w:rsidR="00136BD0" w:rsidRPr="00234254" w:rsidRDefault="00136BD0" w:rsidP="00143DD5">
      <w:pPr>
        <w:numPr>
          <w:ilvl w:val="0"/>
          <w:numId w:val="29"/>
        </w:numPr>
        <w:rPr>
          <w:color w:val="auto"/>
        </w:rPr>
      </w:pPr>
      <w:r w:rsidRPr="00234254">
        <w:rPr>
          <w:b/>
          <w:bCs/>
          <w:color w:val="auto"/>
        </w:rPr>
        <w:t>National Record Locator (NRL) Integration</w:t>
      </w:r>
      <w:r w:rsidRPr="00234254">
        <w:rPr>
          <w:color w:val="auto"/>
        </w:rPr>
        <w:t xml:space="preserve"> – The NIR publishes image location </w:t>
      </w:r>
      <w:r w:rsidRPr="000E57A7">
        <w:rPr>
          <w:color w:val="auto"/>
        </w:rPr>
        <w:t>metadata to the NRL, allowing other NHS systems (e.g., the NHS App, shared care records, or clinical portals</w:t>
      </w:r>
      <w:r w:rsidRPr="00234254">
        <w:rPr>
          <w:color w:val="auto"/>
        </w:rPr>
        <w:t>) to identify where imaging data is available for a patient.</w:t>
      </w:r>
    </w:p>
    <w:p w14:paraId="16DD40BC" w14:textId="0BB450F5" w:rsidR="00136BD0" w:rsidRDefault="00136BD0" w:rsidP="00143DD5">
      <w:pPr>
        <w:numPr>
          <w:ilvl w:val="0"/>
          <w:numId w:val="29"/>
        </w:numPr>
        <w:rPr>
          <w:color w:val="auto"/>
        </w:rPr>
      </w:pPr>
      <w:r w:rsidRPr="00234254">
        <w:rPr>
          <w:b/>
          <w:bCs/>
          <w:color w:val="auto"/>
        </w:rPr>
        <w:t>Data Management and Governance</w:t>
      </w:r>
      <w:r w:rsidRPr="00234254">
        <w:rPr>
          <w:color w:val="auto"/>
        </w:rPr>
        <w:t xml:space="preserve"> – Metadata is validated </w:t>
      </w:r>
      <w:r w:rsidRPr="000E57A7">
        <w:rPr>
          <w:color w:val="auto"/>
        </w:rPr>
        <w:t xml:space="preserve">against the </w:t>
      </w:r>
      <w:r w:rsidR="005B2E54">
        <w:rPr>
          <w:color w:val="auto"/>
        </w:rPr>
        <w:t xml:space="preserve">applicable </w:t>
      </w:r>
      <w:r w:rsidRPr="000E57A7">
        <w:rPr>
          <w:color w:val="auto"/>
        </w:rPr>
        <w:t>schema</w:t>
      </w:r>
      <w:r w:rsidR="005B2E54">
        <w:rPr>
          <w:color w:val="auto"/>
        </w:rPr>
        <w:t>s</w:t>
      </w:r>
      <w:r w:rsidRPr="000E57A7">
        <w:rPr>
          <w:color w:val="auto"/>
        </w:rPr>
        <w:t>, with structured logging, conformance checks, and au</w:t>
      </w:r>
      <w:r w:rsidRPr="00234254">
        <w:rPr>
          <w:color w:val="auto"/>
        </w:rPr>
        <w:t>dit trails to ensure accuracy and traceability across all participating nodes.</w:t>
      </w:r>
    </w:p>
    <w:p w14:paraId="25F3393F" w14:textId="77777777" w:rsidR="005B2E54" w:rsidRPr="00234254" w:rsidRDefault="005B2E54" w:rsidP="005B2E54">
      <w:pPr>
        <w:ind w:left="720"/>
        <w:rPr>
          <w:color w:val="auto"/>
        </w:rPr>
      </w:pPr>
    </w:p>
    <w:p w14:paraId="3E71E771" w14:textId="32583745" w:rsidR="00136BD0" w:rsidRPr="00AC6878" w:rsidRDefault="00136BD0" w:rsidP="00B3622E">
      <w:pPr>
        <w:pStyle w:val="Heading3"/>
      </w:pPr>
      <w:r w:rsidRPr="00AC6878">
        <w:t>Interoperability and Standards</w:t>
      </w:r>
    </w:p>
    <w:p w14:paraId="32C8A953" w14:textId="77777777" w:rsidR="00136BD0" w:rsidRPr="00AC6878" w:rsidRDefault="00136BD0" w:rsidP="00136BD0">
      <w:pPr>
        <w:rPr>
          <w:color w:val="auto"/>
        </w:rPr>
      </w:pPr>
      <w:r w:rsidRPr="00AC6878">
        <w:rPr>
          <w:color w:val="auto"/>
        </w:rPr>
        <w:t>The NIR is designed to operate in a mixed-technology environment, supporting both existing and next-generation interoperability frameworks:</w:t>
      </w:r>
    </w:p>
    <w:p w14:paraId="5714B5BC" w14:textId="52346D64" w:rsidR="00136BD0" w:rsidRPr="00AC6878" w:rsidRDefault="00136BD0" w:rsidP="00143DD5">
      <w:pPr>
        <w:numPr>
          <w:ilvl w:val="0"/>
          <w:numId w:val="30"/>
        </w:numPr>
        <w:rPr>
          <w:color w:val="auto"/>
        </w:rPr>
      </w:pPr>
      <w:r w:rsidRPr="00AC6878">
        <w:rPr>
          <w:b/>
          <w:bCs/>
          <w:color w:val="auto"/>
        </w:rPr>
        <w:t>Connectivity</w:t>
      </w:r>
      <w:r w:rsidRPr="00AC6878">
        <w:rPr>
          <w:color w:val="auto"/>
        </w:rPr>
        <w:t xml:space="preserve"> – </w:t>
      </w:r>
      <w:r w:rsidR="00912B72" w:rsidRPr="00AC6878">
        <w:rPr>
          <w:color w:val="auto"/>
        </w:rPr>
        <w:t xml:space="preserve">Supports communication with IHE XCA-based PACS/RIS systems and is being prepared for FHIR-based integrations in future </w:t>
      </w:r>
      <w:r w:rsidR="0088086A">
        <w:rPr>
          <w:color w:val="auto"/>
        </w:rPr>
        <w:t>iterations</w:t>
      </w:r>
      <w:r w:rsidRPr="00AC6878">
        <w:rPr>
          <w:color w:val="auto"/>
        </w:rPr>
        <w:t>.</w:t>
      </w:r>
    </w:p>
    <w:p w14:paraId="508CCC4E" w14:textId="4D90E762" w:rsidR="00136BD0" w:rsidRPr="00AC6878" w:rsidRDefault="00136BD0" w:rsidP="00143DD5">
      <w:pPr>
        <w:numPr>
          <w:ilvl w:val="0"/>
          <w:numId w:val="30"/>
        </w:numPr>
        <w:rPr>
          <w:color w:val="auto"/>
        </w:rPr>
      </w:pPr>
      <w:r w:rsidRPr="00AC6878">
        <w:rPr>
          <w:b/>
          <w:bCs/>
          <w:color w:val="auto"/>
        </w:rPr>
        <w:t>Industry Standards Compliance</w:t>
      </w:r>
      <w:r w:rsidRPr="00AC6878">
        <w:rPr>
          <w:color w:val="auto"/>
        </w:rPr>
        <w:t xml:space="preserve"> – The NIR fully supports Integrating the Healthcare Enterprise (IHE) standards, includi</w:t>
      </w:r>
      <w:r w:rsidRPr="00135778">
        <w:rPr>
          <w:color w:val="auto"/>
        </w:rPr>
        <w:t>ng XCA</w:t>
      </w:r>
      <w:r w:rsidR="005B2E54" w:rsidRPr="00135778">
        <w:rPr>
          <w:color w:val="auto"/>
        </w:rPr>
        <w:t xml:space="preserve"> and MHDS</w:t>
      </w:r>
      <w:r w:rsidRPr="00135778">
        <w:rPr>
          <w:color w:val="auto"/>
        </w:rPr>
        <w:t>, and aligns with international interoperability frameworks to future-proof connectivity with systems across the UK and Europe.</w:t>
      </w:r>
    </w:p>
    <w:p w14:paraId="4486B277" w14:textId="6FBA7DA4" w:rsidR="00136BD0" w:rsidRPr="00AC6878" w:rsidRDefault="005B2E54" w:rsidP="00143DD5">
      <w:pPr>
        <w:numPr>
          <w:ilvl w:val="0"/>
          <w:numId w:val="30"/>
        </w:numPr>
        <w:rPr>
          <w:color w:val="auto"/>
        </w:rPr>
      </w:pPr>
      <w:r>
        <w:rPr>
          <w:b/>
          <w:bCs/>
          <w:color w:val="auto"/>
        </w:rPr>
        <w:t>MHDS</w:t>
      </w:r>
      <w:r w:rsidR="00136BD0" w:rsidRPr="00AC6878">
        <w:rPr>
          <w:b/>
          <w:bCs/>
          <w:color w:val="auto"/>
        </w:rPr>
        <w:t xml:space="preserve"> API Enablement</w:t>
      </w:r>
      <w:r w:rsidR="00136BD0" w:rsidRPr="00AC6878">
        <w:rPr>
          <w:color w:val="auto"/>
        </w:rPr>
        <w:t xml:space="preserve"> – </w:t>
      </w:r>
      <w:r w:rsidR="00FA405B" w:rsidRPr="00AC6878">
        <w:rPr>
          <w:color w:val="auto"/>
        </w:rPr>
        <w:t xml:space="preserve">Initial </w:t>
      </w:r>
      <w:r>
        <w:rPr>
          <w:color w:val="auto"/>
        </w:rPr>
        <w:t>MHDS</w:t>
      </w:r>
      <w:r w:rsidR="00FA405B" w:rsidRPr="00AC6878">
        <w:rPr>
          <w:color w:val="auto"/>
        </w:rPr>
        <w:t xml:space="preserve"> API specifications and reference implementations are being developed under the national interoperability roadmap but are not yet in operational use</w:t>
      </w:r>
      <w:r w:rsidR="00136BD0" w:rsidRPr="00AC6878">
        <w:rPr>
          <w:color w:val="auto"/>
        </w:rPr>
        <w:t>.</w:t>
      </w:r>
    </w:p>
    <w:p w14:paraId="7E7948CE" w14:textId="51C43360" w:rsidR="00136BD0" w:rsidRPr="005B2E54" w:rsidRDefault="00136BD0" w:rsidP="009E278F">
      <w:pPr>
        <w:numPr>
          <w:ilvl w:val="0"/>
          <w:numId w:val="30"/>
        </w:numPr>
        <w:rPr>
          <w:color w:val="auto"/>
        </w:rPr>
      </w:pPr>
      <w:r w:rsidRPr="005B2E54">
        <w:rPr>
          <w:b/>
          <w:bCs/>
          <w:color w:val="auto"/>
        </w:rPr>
        <w:t>Schema and Conformance Validation</w:t>
      </w:r>
      <w:r w:rsidRPr="005B2E54">
        <w:rPr>
          <w:color w:val="auto"/>
        </w:rPr>
        <w:t xml:space="preserve"> – Automated validation at the </w:t>
      </w:r>
      <w:r w:rsidR="005B2E54" w:rsidRPr="005B2E54">
        <w:rPr>
          <w:color w:val="auto"/>
        </w:rPr>
        <w:t xml:space="preserve">NIR </w:t>
      </w:r>
      <w:r w:rsidRPr="005B2E54">
        <w:rPr>
          <w:color w:val="auto"/>
        </w:rPr>
        <w:t xml:space="preserve">gateway ensures metadata adheres to </w:t>
      </w:r>
      <w:r w:rsidR="005B2E54" w:rsidRPr="005B2E54">
        <w:rPr>
          <w:color w:val="auto"/>
        </w:rPr>
        <w:t xml:space="preserve">IHE profiles prior to initiating transactions. </w:t>
      </w:r>
      <w:r w:rsidRPr="005B2E54">
        <w:rPr>
          <w:color w:val="auto"/>
        </w:rPr>
        <w:t>MHDS and IHE profiles prior to publication, mitigating risks of incomplete or inaccurate data registration.</w:t>
      </w:r>
    </w:p>
    <w:p w14:paraId="06A8297D" w14:textId="50F38E2D" w:rsidR="00B5460E" w:rsidRDefault="00B5460E" w:rsidP="00CB2331">
      <w:pPr>
        <w:rPr>
          <w:color w:val="auto"/>
        </w:rPr>
      </w:pPr>
      <w:r w:rsidRPr="00AC6878">
        <w:rPr>
          <w:color w:val="auto"/>
        </w:rPr>
        <w:t>Metadata validation and transaction handling currently use IHE</w:t>
      </w:r>
      <w:r w:rsidR="005B2E54">
        <w:rPr>
          <w:color w:val="auto"/>
        </w:rPr>
        <w:t xml:space="preserve"> </w:t>
      </w:r>
      <w:r w:rsidRPr="00AC6878">
        <w:rPr>
          <w:color w:val="auto"/>
        </w:rPr>
        <w:t>defined schemas</w:t>
      </w:r>
      <w:r w:rsidR="005B2E54">
        <w:rPr>
          <w:color w:val="auto"/>
        </w:rPr>
        <w:t xml:space="preserve"> for XCA. IHE defined schemas for MHDS will be incorporated</w:t>
      </w:r>
      <w:r w:rsidRPr="00AC6878">
        <w:rPr>
          <w:color w:val="auto"/>
        </w:rPr>
        <w:t xml:space="preserve"> later as part of the planned interoperability evolution.</w:t>
      </w:r>
    </w:p>
    <w:p w14:paraId="35183B66" w14:textId="7DAB94AA" w:rsidR="00135778" w:rsidRDefault="00135778">
      <w:pPr>
        <w:spacing w:after="0"/>
        <w:textboxTightWrap w:val="none"/>
        <w:rPr>
          <w:color w:val="auto"/>
        </w:rPr>
      </w:pPr>
      <w:r>
        <w:rPr>
          <w:color w:val="auto"/>
        </w:rPr>
        <w:br w:type="page"/>
      </w:r>
    </w:p>
    <w:p w14:paraId="3A732B14" w14:textId="77777777" w:rsidR="00135778" w:rsidRDefault="00135778" w:rsidP="00CB2331">
      <w:pPr>
        <w:rPr>
          <w:color w:val="auto"/>
        </w:rPr>
      </w:pPr>
    </w:p>
    <w:tbl>
      <w:tblPr>
        <w:tblStyle w:val="TableGrid"/>
        <w:tblW w:w="0" w:type="auto"/>
        <w:tblLook w:val="04A0" w:firstRow="1" w:lastRow="0" w:firstColumn="1" w:lastColumn="0" w:noHBand="0" w:noVBand="1"/>
      </w:tblPr>
      <w:tblGrid>
        <w:gridCol w:w="2263"/>
        <w:gridCol w:w="3119"/>
        <w:gridCol w:w="4394"/>
      </w:tblGrid>
      <w:tr w:rsidR="00A82D8F" w14:paraId="58858150" w14:textId="77777777" w:rsidTr="00160E70">
        <w:trPr>
          <w:cantSplit/>
          <w:tblHeader/>
        </w:trPr>
        <w:tc>
          <w:tcPr>
            <w:tcW w:w="2263" w:type="dxa"/>
            <w:shd w:val="clear" w:color="auto" w:fill="D0D5D6" w:themeFill="accent5"/>
            <w:vAlign w:val="center"/>
          </w:tcPr>
          <w:p w14:paraId="0FF50612" w14:textId="77777777" w:rsidR="00A82D8F" w:rsidRDefault="00A82D8F" w:rsidP="00A6428E">
            <w:r w:rsidRPr="00922860">
              <w:rPr>
                <w:b/>
                <w:bCs/>
              </w:rPr>
              <w:t>Category</w:t>
            </w:r>
          </w:p>
        </w:tc>
        <w:tc>
          <w:tcPr>
            <w:tcW w:w="3119" w:type="dxa"/>
            <w:shd w:val="clear" w:color="auto" w:fill="D0D5D6" w:themeFill="accent5"/>
            <w:vAlign w:val="center"/>
          </w:tcPr>
          <w:p w14:paraId="45F6973D" w14:textId="77777777" w:rsidR="00A82D8F" w:rsidRDefault="00A82D8F" w:rsidP="00A6428E">
            <w:r w:rsidRPr="00922860">
              <w:rPr>
                <w:b/>
                <w:bCs/>
              </w:rPr>
              <w:t>Standard / Framework</w:t>
            </w:r>
          </w:p>
        </w:tc>
        <w:tc>
          <w:tcPr>
            <w:tcW w:w="4394" w:type="dxa"/>
            <w:shd w:val="clear" w:color="auto" w:fill="D0D5D6" w:themeFill="accent5"/>
            <w:vAlign w:val="center"/>
          </w:tcPr>
          <w:p w14:paraId="2014C991" w14:textId="77777777" w:rsidR="00A82D8F" w:rsidRDefault="00A82D8F" w:rsidP="00A6428E">
            <w:r w:rsidRPr="00922860">
              <w:rPr>
                <w:b/>
                <w:bCs/>
              </w:rPr>
              <w:t>Description / Use within NIR</w:t>
            </w:r>
          </w:p>
        </w:tc>
      </w:tr>
      <w:tr w:rsidR="00A82D8F" w14:paraId="1BBB035B" w14:textId="77777777" w:rsidTr="00160E70">
        <w:trPr>
          <w:cantSplit/>
        </w:trPr>
        <w:tc>
          <w:tcPr>
            <w:tcW w:w="2263" w:type="dxa"/>
            <w:vAlign w:val="center"/>
          </w:tcPr>
          <w:p w14:paraId="14BEB866" w14:textId="77777777" w:rsidR="00A82D8F" w:rsidRPr="00A82D8F" w:rsidRDefault="00A82D8F" w:rsidP="00A6428E">
            <w:r w:rsidRPr="00922860">
              <w:t>Document Exchange</w:t>
            </w:r>
          </w:p>
        </w:tc>
        <w:tc>
          <w:tcPr>
            <w:tcW w:w="3119" w:type="dxa"/>
            <w:vAlign w:val="center"/>
          </w:tcPr>
          <w:p w14:paraId="73B4EED4" w14:textId="2A3D3FD6" w:rsidR="00A82D8F" w:rsidRPr="00A82D8F" w:rsidRDefault="00A82D8F" w:rsidP="00A6428E">
            <w:r w:rsidRPr="00922860">
              <w:t>IHE XDS (Cross-Enterprise Document Sharing)</w:t>
            </w:r>
          </w:p>
        </w:tc>
        <w:tc>
          <w:tcPr>
            <w:tcW w:w="4394" w:type="dxa"/>
            <w:vAlign w:val="center"/>
          </w:tcPr>
          <w:p w14:paraId="7F3B29AE" w14:textId="77777777" w:rsidR="00A82D8F" w:rsidRPr="00A82D8F" w:rsidRDefault="00A82D8F" w:rsidP="00A6428E">
            <w:r w:rsidRPr="00922860">
              <w:t>Core profile for registering and discovering clinical documents.</w:t>
            </w:r>
          </w:p>
        </w:tc>
      </w:tr>
      <w:tr w:rsidR="00A82D8F" w14:paraId="7B32E762" w14:textId="77777777" w:rsidTr="00160E70">
        <w:trPr>
          <w:cantSplit/>
        </w:trPr>
        <w:tc>
          <w:tcPr>
            <w:tcW w:w="2263" w:type="dxa"/>
            <w:vAlign w:val="center"/>
          </w:tcPr>
          <w:p w14:paraId="707C795F" w14:textId="77777777" w:rsidR="00A82D8F" w:rsidRPr="00A82D8F" w:rsidRDefault="00A82D8F" w:rsidP="00A6428E">
            <w:r w:rsidRPr="00922860">
              <w:t>Cross-Community Access</w:t>
            </w:r>
          </w:p>
        </w:tc>
        <w:tc>
          <w:tcPr>
            <w:tcW w:w="3119" w:type="dxa"/>
            <w:vAlign w:val="center"/>
          </w:tcPr>
          <w:p w14:paraId="72491E01" w14:textId="77777777" w:rsidR="00A82D8F" w:rsidRPr="00A82D8F" w:rsidRDefault="00A82D8F" w:rsidP="00A6428E">
            <w:r w:rsidRPr="00922860">
              <w:t>IHE XCA (ITI-38 / ITI-39)</w:t>
            </w:r>
          </w:p>
        </w:tc>
        <w:tc>
          <w:tcPr>
            <w:tcW w:w="4394" w:type="dxa"/>
            <w:vAlign w:val="center"/>
          </w:tcPr>
          <w:p w14:paraId="7A110D29" w14:textId="2620A0B8" w:rsidR="00A82D8F" w:rsidRPr="00A82D8F" w:rsidRDefault="00A82D8F" w:rsidP="00A6428E">
            <w:r w:rsidRPr="00922860">
              <w:t xml:space="preserve">Enables </w:t>
            </w:r>
            <w:r w:rsidR="00135778">
              <w:t xml:space="preserve">the </w:t>
            </w:r>
            <w:r w:rsidRPr="00922860">
              <w:t xml:space="preserve">discovery and retrieval of imaging and report data across organisations. Referenced in </w:t>
            </w:r>
            <w:r w:rsidRPr="00922860">
              <w:rPr>
                <w:i/>
                <w:iCs/>
              </w:rPr>
              <w:t>NIR Error Handling-v33</w:t>
            </w:r>
            <w:r w:rsidRPr="00922860">
              <w:t xml:space="preserve"> and </w:t>
            </w:r>
            <w:r w:rsidRPr="00922860">
              <w:rPr>
                <w:i/>
                <w:iCs/>
              </w:rPr>
              <w:t>Trust Model-v24</w:t>
            </w:r>
            <w:r w:rsidRPr="00922860">
              <w:t>.</w:t>
            </w:r>
          </w:p>
        </w:tc>
      </w:tr>
      <w:tr w:rsidR="00A82D8F" w14:paraId="7B559BD3" w14:textId="77777777" w:rsidTr="00160E70">
        <w:trPr>
          <w:cantSplit/>
        </w:trPr>
        <w:tc>
          <w:tcPr>
            <w:tcW w:w="2263" w:type="dxa"/>
            <w:vAlign w:val="center"/>
          </w:tcPr>
          <w:p w14:paraId="6AE3A6CA" w14:textId="77777777" w:rsidR="00A82D8F" w:rsidRPr="00A82D8F" w:rsidRDefault="00A82D8F" w:rsidP="00A6428E">
            <w:r w:rsidRPr="00922860">
              <w:t>FHIR Document Sharing</w:t>
            </w:r>
          </w:p>
        </w:tc>
        <w:tc>
          <w:tcPr>
            <w:tcW w:w="3119" w:type="dxa"/>
            <w:vAlign w:val="center"/>
          </w:tcPr>
          <w:p w14:paraId="3A828DE4" w14:textId="77777777" w:rsidR="00A82D8F" w:rsidRPr="00A82D8F" w:rsidRDefault="00A82D8F" w:rsidP="00A6428E">
            <w:r w:rsidRPr="00922860">
              <w:t>IHE MHDS (Mobile Health Document Sharing)</w:t>
            </w:r>
          </w:p>
        </w:tc>
        <w:tc>
          <w:tcPr>
            <w:tcW w:w="4394" w:type="dxa"/>
            <w:vAlign w:val="center"/>
          </w:tcPr>
          <w:p w14:paraId="3D8A3D11" w14:textId="77777777" w:rsidR="00A82D8F" w:rsidRPr="00A82D8F" w:rsidRDefault="00A82D8F" w:rsidP="00A6428E">
            <w:r w:rsidRPr="00922860">
              <w:t>FHIR-based standard for federated document access. Supported in parallel with XCA (</w:t>
            </w:r>
            <w:r w:rsidRPr="00922860">
              <w:rPr>
                <w:i/>
                <w:iCs/>
              </w:rPr>
              <w:t>NIR Product Brief</w:t>
            </w:r>
            <w:r w:rsidRPr="00922860">
              <w:t>).</w:t>
            </w:r>
          </w:p>
        </w:tc>
      </w:tr>
      <w:tr w:rsidR="00A82D8F" w14:paraId="5BEEF2F3" w14:textId="77777777" w:rsidTr="00160E70">
        <w:trPr>
          <w:cantSplit/>
        </w:trPr>
        <w:tc>
          <w:tcPr>
            <w:tcW w:w="2263" w:type="dxa"/>
            <w:vAlign w:val="center"/>
          </w:tcPr>
          <w:p w14:paraId="1E47E803" w14:textId="77777777" w:rsidR="00A82D8F" w:rsidRPr="00A82D8F" w:rsidRDefault="00A82D8F" w:rsidP="00A6428E">
            <w:r w:rsidRPr="00922860">
              <w:t>Imaging Retrieval</w:t>
            </w:r>
          </w:p>
        </w:tc>
        <w:tc>
          <w:tcPr>
            <w:tcW w:w="3119" w:type="dxa"/>
            <w:vAlign w:val="center"/>
          </w:tcPr>
          <w:p w14:paraId="479C8665" w14:textId="77777777" w:rsidR="00A82D8F" w:rsidRPr="00A82D8F" w:rsidRDefault="00A82D8F" w:rsidP="00A6428E">
            <w:r w:rsidRPr="00922860">
              <w:t>DICOM WADO-RS / WADO-WS</w:t>
            </w:r>
          </w:p>
        </w:tc>
        <w:tc>
          <w:tcPr>
            <w:tcW w:w="4394" w:type="dxa"/>
            <w:vAlign w:val="center"/>
          </w:tcPr>
          <w:p w14:paraId="5ADC9938" w14:textId="77777777" w:rsidR="00A82D8F" w:rsidRPr="00A82D8F" w:rsidRDefault="00A82D8F" w:rsidP="00A6428E">
            <w:r w:rsidRPr="00922860">
              <w:t xml:space="preserve">Imaging retrieval protocols for RESTful and SOAP-based access to diagnostic images. Mentioned in </w:t>
            </w:r>
            <w:r w:rsidRPr="00922860">
              <w:rPr>
                <w:i/>
                <w:iCs/>
              </w:rPr>
              <w:t>Trust Model-v24</w:t>
            </w:r>
            <w:r w:rsidRPr="00922860">
              <w:t>.</w:t>
            </w:r>
          </w:p>
        </w:tc>
      </w:tr>
      <w:tr w:rsidR="00A82D8F" w14:paraId="250E3578" w14:textId="77777777" w:rsidTr="00160E70">
        <w:trPr>
          <w:cantSplit/>
        </w:trPr>
        <w:tc>
          <w:tcPr>
            <w:tcW w:w="2263" w:type="dxa"/>
            <w:vAlign w:val="center"/>
          </w:tcPr>
          <w:p w14:paraId="78EB4CE9" w14:textId="77777777" w:rsidR="00A82D8F" w:rsidRPr="00A82D8F" w:rsidRDefault="00A82D8F" w:rsidP="00A6428E">
            <w:r w:rsidRPr="00922860">
              <w:t>Security &amp; Identity</w:t>
            </w:r>
          </w:p>
        </w:tc>
        <w:tc>
          <w:tcPr>
            <w:tcW w:w="3119" w:type="dxa"/>
            <w:vAlign w:val="center"/>
          </w:tcPr>
          <w:p w14:paraId="75F2716A" w14:textId="77777777" w:rsidR="00A82D8F" w:rsidRPr="00A82D8F" w:rsidRDefault="00A82D8F" w:rsidP="00A6428E">
            <w:r w:rsidRPr="00922860">
              <w:t>WS-Security (OASIS Standard)</w:t>
            </w:r>
          </w:p>
        </w:tc>
        <w:tc>
          <w:tcPr>
            <w:tcW w:w="4394" w:type="dxa"/>
            <w:vAlign w:val="center"/>
          </w:tcPr>
          <w:p w14:paraId="70F5E990" w14:textId="77777777" w:rsidR="00A82D8F" w:rsidRPr="00A82D8F" w:rsidRDefault="00A82D8F" w:rsidP="00A6428E">
            <w:r w:rsidRPr="00922860">
              <w:t>SOAP message signing and encryption (for XCA / XDS exchanges).</w:t>
            </w:r>
          </w:p>
        </w:tc>
      </w:tr>
      <w:tr w:rsidR="00A82D8F" w14:paraId="09F441BE" w14:textId="77777777" w:rsidTr="00160E70">
        <w:trPr>
          <w:cantSplit/>
        </w:trPr>
        <w:tc>
          <w:tcPr>
            <w:tcW w:w="2263" w:type="dxa"/>
            <w:vAlign w:val="center"/>
          </w:tcPr>
          <w:p w14:paraId="2D2615AF" w14:textId="77777777" w:rsidR="00A82D8F" w:rsidRPr="00A82D8F" w:rsidRDefault="00A82D8F" w:rsidP="00A6428E"/>
        </w:tc>
        <w:tc>
          <w:tcPr>
            <w:tcW w:w="3119" w:type="dxa"/>
            <w:vAlign w:val="center"/>
          </w:tcPr>
          <w:p w14:paraId="291AB34B" w14:textId="77777777" w:rsidR="00A82D8F" w:rsidRPr="00A82D8F" w:rsidRDefault="00A82D8F" w:rsidP="00A6428E">
            <w:r w:rsidRPr="00922860">
              <w:t>SAML 2.0 / XUA (Cross-Enterprise User Assertion)</w:t>
            </w:r>
          </w:p>
        </w:tc>
        <w:tc>
          <w:tcPr>
            <w:tcW w:w="4394" w:type="dxa"/>
            <w:vAlign w:val="center"/>
          </w:tcPr>
          <w:p w14:paraId="005CFA20" w14:textId="77777777" w:rsidR="00A82D8F" w:rsidRPr="00A82D8F" w:rsidRDefault="00A82D8F" w:rsidP="00A6428E">
            <w:r w:rsidRPr="00922860">
              <w:t>Provides user identity and authorisation in SOAP exchanges.</w:t>
            </w:r>
          </w:p>
        </w:tc>
      </w:tr>
      <w:tr w:rsidR="00A82D8F" w14:paraId="05EACDD8" w14:textId="77777777" w:rsidTr="00160E70">
        <w:trPr>
          <w:cantSplit/>
        </w:trPr>
        <w:tc>
          <w:tcPr>
            <w:tcW w:w="2263" w:type="dxa"/>
            <w:vAlign w:val="center"/>
          </w:tcPr>
          <w:p w14:paraId="7A8ADEA1" w14:textId="77777777" w:rsidR="00A82D8F" w:rsidRPr="00A82D8F" w:rsidRDefault="00A82D8F" w:rsidP="00A6428E"/>
        </w:tc>
        <w:tc>
          <w:tcPr>
            <w:tcW w:w="3119" w:type="dxa"/>
            <w:vAlign w:val="center"/>
          </w:tcPr>
          <w:p w14:paraId="3C8BAF14" w14:textId="77777777" w:rsidR="00A82D8F" w:rsidRPr="00A82D8F" w:rsidRDefault="00A82D8F" w:rsidP="00A6428E">
            <w:r w:rsidRPr="00922860">
              <w:t>OAuth 2.0 / IUA (Internet User Assertion)</w:t>
            </w:r>
          </w:p>
        </w:tc>
        <w:tc>
          <w:tcPr>
            <w:tcW w:w="4394" w:type="dxa"/>
            <w:vAlign w:val="center"/>
          </w:tcPr>
          <w:p w14:paraId="55C872D9" w14:textId="77777777" w:rsidR="00A82D8F" w:rsidRPr="00A82D8F" w:rsidRDefault="00A82D8F" w:rsidP="00A6428E">
            <w:r w:rsidRPr="00922860">
              <w:t>RESTful (FHIR/MHDS) authentication and authorisation mechanism.</w:t>
            </w:r>
          </w:p>
        </w:tc>
      </w:tr>
      <w:tr w:rsidR="00A82D8F" w14:paraId="40996395" w14:textId="77777777" w:rsidTr="00160E70">
        <w:trPr>
          <w:cantSplit/>
        </w:trPr>
        <w:tc>
          <w:tcPr>
            <w:tcW w:w="2263" w:type="dxa"/>
            <w:vAlign w:val="center"/>
          </w:tcPr>
          <w:p w14:paraId="1BE7973C" w14:textId="77777777" w:rsidR="00A82D8F" w:rsidRPr="00A82D8F" w:rsidRDefault="00A82D8F" w:rsidP="00A6428E"/>
        </w:tc>
        <w:tc>
          <w:tcPr>
            <w:tcW w:w="3119" w:type="dxa"/>
            <w:vAlign w:val="center"/>
          </w:tcPr>
          <w:p w14:paraId="1EA1A261" w14:textId="77777777" w:rsidR="00A82D8F" w:rsidRPr="00A82D8F" w:rsidRDefault="00A82D8F" w:rsidP="00A6428E">
            <w:r w:rsidRPr="00922860">
              <w:t>Mutual TLS (mTLS) via NHS Private CA</w:t>
            </w:r>
          </w:p>
        </w:tc>
        <w:tc>
          <w:tcPr>
            <w:tcW w:w="4394" w:type="dxa"/>
            <w:vAlign w:val="center"/>
          </w:tcPr>
          <w:p w14:paraId="39DF24F3" w14:textId="77777777" w:rsidR="00A82D8F" w:rsidRPr="00A82D8F" w:rsidRDefault="00A82D8F" w:rsidP="00A6428E">
            <w:r w:rsidRPr="00922860">
              <w:t>Enforced at transport layer for system authentication (</w:t>
            </w:r>
            <w:r w:rsidRPr="00922860">
              <w:rPr>
                <w:i/>
                <w:iCs/>
              </w:rPr>
              <w:t>Trust Model-v24</w:t>
            </w:r>
            <w:r w:rsidRPr="00922860">
              <w:t xml:space="preserve">, </w:t>
            </w:r>
            <w:r w:rsidRPr="00922860">
              <w:rPr>
                <w:i/>
                <w:iCs/>
              </w:rPr>
              <w:t>Security and Compliance Strategy-v5</w:t>
            </w:r>
            <w:r w:rsidRPr="00922860">
              <w:t>).</w:t>
            </w:r>
          </w:p>
        </w:tc>
      </w:tr>
    </w:tbl>
    <w:p w14:paraId="0A16E996" w14:textId="77777777" w:rsidR="00A82D8F" w:rsidRDefault="00A82D8F" w:rsidP="00CB2331">
      <w:pPr>
        <w:rPr>
          <w:color w:val="auto"/>
        </w:rPr>
      </w:pPr>
    </w:p>
    <w:p w14:paraId="2760BEFC" w14:textId="1849F385" w:rsidR="000900AC" w:rsidRPr="00BD7FB4" w:rsidRDefault="000900AC" w:rsidP="000900AC">
      <w:pPr>
        <w:pStyle w:val="Caption"/>
        <w:keepNext/>
        <w:jc w:val="center"/>
      </w:pPr>
      <w:bookmarkStart w:id="24" w:name="_Toc214376927"/>
      <w:r w:rsidRPr="00BD7FB4">
        <w:t xml:space="preserve">Table </w:t>
      </w:r>
      <w:r>
        <w:fldChar w:fldCharType="begin"/>
      </w:r>
      <w:r>
        <w:instrText>SEQ Table \* ARABIC</w:instrText>
      </w:r>
      <w:r>
        <w:fldChar w:fldCharType="separate"/>
      </w:r>
      <w:r w:rsidR="00160E70">
        <w:rPr>
          <w:noProof/>
        </w:rPr>
        <w:t>1</w:t>
      </w:r>
      <w:r>
        <w:fldChar w:fldCharType="end"/>
      </w:r>
      <w:r w:rsidRPr="00BD7FB4">
        <w:t xml:space="preserve"> </w:t>
      </w:r>
      <w:r>
        <w:t>–</w:t>
      </w:r>
      <w:r w:rsidRPr="00BD7FB4">
        <w:t xml:space="preserve"> </w:t>
      </w:r>
      <w:r>
        <w:t xml:space="preserve">NIR </w:t>
      </w:r>
      <w:r w:rsidRPr="000900AC">
        <w:t>Standards and Frameworks</w:t>
      </w:r>
      <w:bookmarkEnd w:id="24"/>
    </w:p>
    <w:p w14:paraId="7A8DA786" w14:textId="77777777" w:rsidR="000900AC" w:rsidRDefault="000900AC" w:rsidP="00CB2331">
      <w:pPr>
        <w:rPr>
          <w:color w:val="auto"/>
        </w:rPr>
      </w:pPr>
    </w:p>
    <w:p w14:paraId="124AECD3" w14:textId="492DF7BE" w:rsidR="00136BD0" w:rsidRPr="00234254" w:rsidRDefault="00136BD0" w:rsidP="00B3622E">
      <w:pPr>
        <w:pStyle w:val="Heading3"/>
      </w:pPr>
      <w:r w:rsidRPr="00234254">
        <w:t>Patient and Clinical Benefits</w:t>
      </w:r>
    </w:p>
    <w:p w14:paraId="5F6C1F36" w14:textId="77777777" w:rsidR="00136BD0" w:rsidRPr="00234254" w:rsidRDefault="00136BD0" w:rsidP="00136BD0">
      <w:pPr>
        <w:rPr>
          <w:color w:val="auto"/>
        </w:rPr>
      </w:pPr>
      <w:r w:rsidRPr="00234254">
        <w:rPr>
          <w:color w:val="auto"/>
        </w:rPr>
        <w:t>The NIR delivers direct and measurable benefits to patient care and clinical operations:</w:t>
      </w:r>
    </w:p>
    <w:p w14:paraId="51F63C2C" w14:textId="0626F32D" w:rsidR="00136BD0" w:rsidRPr="00234254" w:rsidRDefault="00136BD0" w:rsidP="00143DD5">
      <w:pPr>
        <w:numPr>
          <w:ilvl w:val="0"/>
          <w:numId w:val="31"/>
        </w:numPr>
        <w:rPr>
          <w:color w:val="auto"/>
        </w:rPr>
      </w:pPr>
      <w:r w:rsidRPr="00234254">
        <w:rPr>
          <w:b/>
          <w:bCs/>
          <w:color w:val="auto"/>
        </w:rPr>
        <w:t>Reduced Duplication</w:t>
      </w:r>
      <w:r w:rsidR="00AC6878">
        <w:rPr>
          <w:b/>
          <w:bCs/>
          <w:color w:val="auto"/>
        </w:rPr>
        <w:t>:</w:t>
      </w:r>
      <w:r w:rsidRPr="00234254">
        <w:rPr>
          <w:color w:val="auto"/>
        </w:rPr>
        <w:t xml:space="preserve"> Enables clinicians to identify prior imaging across organisations, minimising unnecessary repeat scans and radiation exposure.</w:t>
      </w:r>
    </w:p>
    <w:p w14:paraId="6E6F50DA" w14:textId="1316E268" w:rsidR="00136BD0" w:rsidRPr="00234254" w:rsidRDefault="00136BD0" w:rsidP="00143DD5">
      <w:pPr>
        <w:numPr>
          <w:ilvl w:val="0"/>
          <w:numId w:val="31"/>
        </w:numPr>
        <w:rPr>
          <w:color w:val="auto"/>
        </w:rPr>
      </w:pPr>
      <w:r w:rsidRPr="00234254">
        <w:rPr>
          <w:b/>
          <w:bCs/>
          <w:color w:val="auto"/>
        </w:rPr>
        <w:t>Improved Patient Safety</w:t>
      </w:r>
      <w:r w:rsidR="00AC6878">
        <w:rPr>
          <w:b/>
          <w:bCs/>
          <w:color w:val="auto"/>
        </w:rPr>
        <w:t>:</w:t>
      </w:r>
      <w:r w:rsidRPr="00234254">
        <w:rPr>
          <w:color w:val="auto"/>
        </w:rPr>
        <w:t xml:space="preserve"> Provides clinicians with access to a more complete imaging history, supporting better diagnostic confidence and treatment planning.</w:t>
      </w:r>
    </w:p>
    <w:p w14:paraId="3F7DB87A" w14:textId="6F614D18" w:rsidR="00136BD0" w:rsidRPr="00234254" w:rsidRDefault="00136BD0" w:rsidP="00143DD5">
      <w:pPr>
        <w:numPr>
          <w:ilvl w:val="0"/>
          <w:numId w:val="31"/>
        </w:numPr>
        <w:rPr>
          <w:color w:val="auto"/>
        </w:rPr>
      </w:pPr>
      <w:r w:rsidRPr="00234254">
        <w:rPr>
          <w:b/>
          <w:bCs/>
          <w:color w:val="auto"/>
        </w:rPr>
        <w:t>Faster and Cost-Effective Transfers</w:t>
      </w:r>
      <w:r w:rsidR="00AC6878">
        <w:rPr>
          <w:b/>
          <w:bCs/>
          <w:color w:val="auto"/>
        </w:rPr>
        <w:t>:</w:t>
      </w:r>
      <w:r w:rsidRPr="00234254">
        <w:rPr>
          <w:color w:val="auto"/>
        </w:rPr>
        <w:t xml:space="preserve"> Image and report exchanges occur in near real-time, reducing delays and dependency on manual file transfers.</w:t>
      </w:r>
    </w:p>
    <w:p w14:paraId="551AEEC5" w14:textId="4EA399C5" w:rsidR="00136BD0" w:rsidRPr="00234254" w:rsidRDefault="00136BD0" w:rsidP="00143DD5">
      <w:pPr>
        <w:numPr>
          <w:ilvl w:val="0"/>
          <w:numId w:val="31"/>
        </w:numPr>
        <w:rPr>
          <w:color w:val="auto"/>
        </w:rPr>
      </w:pPr>
      <w:r w:rsidRPr="00234254">
        <w:rPr>
          <w:b/>
          <w:bCs/>
          <w:color w:val="auto"/>
        </w:rPr>
        <w:t>Access to Specialist Opinions</w:t>
      </w:r>
      <w:r w:rsidR="00AC6878">
        <w:rPr>
          <w:b/>
          <w:bCs/>
          <w:color w:val="auto"/>
        </w:rPr>
        <w:t>:</w:t>
      </w:r>
      <w:r w:rsidRPr="00234254">
        <w:rPr>
          <w:color w:val="auto"/>
        </w:rPr>
        <w:t xml:space="preserve"> Facilitates shared worklists and cross-site reporting, enabling efficient workload balancing and improved access to subspecialist expertise.</w:t>
      </w:r>
    </w:p>
    <w:p w14:paraId="0546DC3A" w14:textId="77777777" w:rsidR="00136BD0" w:rsidRPr="00234254" w:rsidRDefault="00136BD0" w:rsidP="00136BD0">
      <w:pPr>
        <w:rPr>
          <w:color w:val="auto"/>
        </w:rPr>
      </w:pPr>
      <w:r w:rsidRPr="00234254">
        <w:rPr>
          <w:i/>
          <w:iCs/>
          <w:color w:val="auto"/>
        </w:rPr>
        <w:t xml:space="preserve">(Insert </w:t>
      </w:r>
      <w:r w:rsidRPr="00234254">
        <w:rPr>
          <w:b/>
          <w:bCs/>
          <w:i/>
          <w:iCs/>
          <w:color w:val="auto"/>
        </w:rPr>
        <w:t>Figure 5: Clinical Use-Case Example Diagram</w:t>
      </w:r>
      <w:r w:rsidRPr="00234254">
        <w:rPr>
          <w:i/>
          <w:iCs/>
          <w:color w:val="auto"/>
        </w:rPr>
        <w:t xml:space="preserve"> – illustrating clinician workflow for cross-network image retrieval.)</w:t>
      </w:r>
    </w:p>
    <w:p w14:paraId="399F8795" w14:textId="18FF07E0" w:rsidR="00136BD0" w:rsidRPr="00234254" w:rsidRDefault="00136BD0" w:rsidP="00B3622E">
      <w:pPr>
        <w:pStyle w:val="Heading3"/>
      </w:pPr>
      <w:r w:rsidRPr="00234254">
        <w:t>Operational Considerations</w:t>
      </w:r>
    </w:p>
    <w:p w14:paraId="38212915" w14:textId="77777777" w:rsidR="00136BD0" w:rsidRPr="00234254" w:rsidRDefault="00136BD0" w:rsidP="00136BD0">
      <w:pPr>
        <w:rPr>
          <w:color w:val="auto"/>
        </w:rPr>
      </w:pPr>
      <w:r w:rsidRPr="00234254">
        <w:rPr>
          <w:color w:val="auto"/>
        </w:rPr>
        <w:t>Operational resilience, supplier independence, and data security are embedded into the NIR design:</w:t>
      </w:r>
    </w:p>
    <w:p w14:paraId="6B31EF2E" w14:textId="77777777" w:rsidR="00136BD0" w:rsidRPr="00234254" w:rsidRDefault="00136BD0" w:rsidP="00143DD5">
      <w:pPr>
        <w:numPr>
          <w:ilvl w:val="0"/>
          <w:numId w:val="32"/>
        </w:numPr>
        <w:rPr>
          <w:color w:val="auto"/>
        </w:rPr>
      </w:pPr>
      <w:r w:rsidRPr="00234254">
        <w:rPr>
          <w:b/>
          <w:bCs/>
          <w:color w:val="auto"/>
        </w:rPr>
        <w:lastRenderedPageBreak/>
        <w:t>Vendor Neutrality</w:t>
      </w:r>
      <w:r w:rsidRPr="00234254">
        <w:rPr>
          <w:color w:val="auto"/>
        </w:rPr>
        <w:t xml:space="preserve"> – The system leverages Vendor Neutral Archive (VNA) principles and open standards to prevent supplier lock-in, supporting a competitive and flexible supplier ecosystem.</w:t>
      </w:r>
    </w:p>
    <w:p w14:paraId="75B1AEC5" w14:textId="3888E652" w:rsidR="00136BD0" w:rsidRPr="00234254" w:rsidRDefault="00136BD0" w:rsidP="00143DD5">
      <w:pPr>
        <w:numPr>
          <w:ilvl w:val="0"/>
          <w:numId w:val="32"/>
        </w:numPr>
        <w:rPr>
          <w:color w:val="auto"/>
        </w:rPr>
      </w:pPr>
      <w:r w:rsidRPr="00234254">
        <w:rPr>
          <w:b/>
          <w:bCs/>
          <w:color w:val="auto"/>
        </w:rPr>
        <w:t>Efficient Resource Management</w:t>
      </w:r>
      <w:r w:rsidRPr="00234254">
        <w:rPr>
          <w:color w:val="auto"/>
        </w:rPr>
        <w:t xml:space="preserve"> – Enables regional </w:t>
      </w:r>
      <w:r w:rsidR="000B4F22">
        <w:rPr>
          <w:color w:val="auto"/>
        </w:rPr>
        <w:t>providers / organisations</w:t>
      </w:r>
      <w:r w:rsidRPr="00234254">
        <w:rPr>
          <w:color w:val="auto"/>
        </w:rPr>
        <w:t xml:space="preserve"> to pool reporting capacity, manage workload distribution, and optimise scanner utilisation across sites.</w:t>
      </w:r>
    </w:p>
    <w:p w14:paraId="3C8AAD88" w14:textId="77777777" w:rsidR="00136BD0" w:rsidRPr="00234254" w:rsidRDefault="00136BD0" w:rsidP="00143DD5">
      <w:pPr>
        <w:numPr>
          <w:ilvl w:val="0"/>
          <w:numId w:val="32"/>
        </w:numPr>
        <w:rPr>
          <w:color w:val="auto"/>
        </w:rPr>
      </w:pPr>
      <w:r w:rsidRPr="00234254">
        <w:rPr>
          <w:b/>
          <w:bCs/>
          <w:color w:val="auto"/>
        </w:rPr>
        <w:t>Security and Privacy by Design</w:t>
      </w:r>
      <w:r w:rsidRPr="00234254">
        <w:rPr>
          <w:color w:val="auto"/>
        </w:rPr>
        <w:t xml:space="preserve"> – The architecture follows </w:t>
      </w:r>
      <w:r w:rsidRPr="00234254">
        <w:rPr>
          <w:b/>
          <w:bCs/>
          <w:color w:val="auto"/>
        </w:rPr>
        <w:t>Zero-Trust principles</w:t>
      </w:r>
      <w:r w:rsidRPr="00234254">
        <w:rPr>
          <w:color w:val="auto"/>
        </w:rPr>
        <w:t>, applying encryption in transit and at rest, identity federation, and continuous monitoring to protect confidential patient data.</w:t>
      </w:r>
    </w:p>
    <w:p w14:paraId="2F301EE3" w14:textId="5ED74DFD" w:rsidR="00136BD0" w:rsidRPr="00234254" w:rsidRDefault="00136BD0" w:rsidP="00143DD5">
      <w:pPr>
        <w:numPr>
          <w:ilvl w:val="0"/>
          <w:numId w:val="32"/>
        </w:numPr>
        <w:rPr>
          <w:color w:val="auto"/>
        </w:rPr>
      </w:pPr>
      <w:r w:rsidRPr="00234254">
        <w:rPr>
          <w:b/>
          <w:bCs/>
          <w:color w:val="auto"/>
        </w:rPr>
        <w:t>Observability and Monitoring</w:t>
      </w:r>
      <w:r w:rsidRPr="00234254">
        <w:rPr>
          <w:color w:val="auto"/>
        </w:rPr>
        <w:t xml:space="preserve"> – Centralised dashboards and event logging </w:t>
      </w:r>
      <w:r w:rsidR="00633FC6">
        <w:rPr>
          <w:color w:val="auto"/>
        </w:rPr>
        <w:t>are available for Private Beta,</w:t>
      </w:r>
      <w:r w:rsidRPr="00234254">
        <w:rPr>
          <w:color w:val="auto"/>
        </w:rPr>
        <w:t xml:space="preserve"> providing transparency on metadata errors, transaction performance, and supplier compliance.</w:t>
      </w:r>
    </w:p>
    <w:p w14:paraId="641DB431" w14:textId="77777777" w:rsidR="00136BD0" w:rsidRPr="00234254" w:rsidRDefault="00136BD0" w:rsidP="00143DD5">
      <w:pPr>
        <w:numPr>
          <w:ilvl w:val="0"/>
          <w:numId w:val="32"/>
        </w:numPr>
        <w:rPr>
          <w:color w:val="auto"/>
        </w:rPr>
      </w:pPr>
      <w:r w:rsidRPr="00234254">
        <w:rPr>
          <w:b/>
          <w:bCs/>
          <w:color w:val="auto"/>
        </w:rPr>
        <w:t>Governance Alignment</w:t>
      </w:r>
      <w:r w:rsidRPr="00234254">
        <w:rPr>
          <w:color w:val="auto"/>
        </w:rPr>
        <w:t xml:space="preserve"> – Operational processes align with the NHS England Clinical Safety Management System (CSMS) and Information Governance frameworks, ensuring that changes to configuration or connectivity undergo safety review before implementation.</w:t>
      </w:r>
    </w:p>
    <w:p w14:paraId="4A3055A0" w14:textId="4D07C607" w:rsidR="00136BD0" w:rsidRPr="00234254" w:rsidRDefault="00136BD0" w:rsidP="00B3622E">
      <w:pPr>
        <w:pStyle w:val="Heading3"/>
      </w:pPr>
      <w:r w:rsidRPr="00234254">
        <w:t xml:space="preserve">Future </w:t>
      </w:r>
      <w:r w:rsidR="005B2E54">
        <w:t>Iterations</w:t>
      </w:r>
      <w:r w:rsidRPr="00234254">
        <w:t xml:space="preserve"> (Planned Enhancements)</w:t>
      </w:r>
    </w:p>
    <w:p w14:paraId="3D7E0AF2" w14:textId="271823E6" w:rsidR="00136BD0" w:rsidRDefault="00633FC6" w:rsidP="00136BD0">
      <w:pPr>
        <w:rPr>
          <w:color w:val="auto"/>
        </w:rPr>
      </w:pPr>
      <w:r>
        <w:rPr>
          <w:color w:val="auto"/>
        </w:rPr>
        <w:t>F</w:t>
      </w:r>
      <w:r w:rsidR="00136BD0" w:rsidRPr="00234254">
        <w:rPr>
          <w:color w:val="auto"/>
        </w:rPr>
        <w:t xml:space="preserve">uture </w:t>
      </w:r>
      <w:r w:rsidR="005B2E54">
        <w:rPr>
          <w:color w:val="auto"/>
        </w:rPr>
        <w:t>iterations</w:t>
      </w:r>
      <w:r w:rsidR="00136BD0" w:rsidRPr="00AC6878">
        <w:rPr>
          <w:color w:val="auto"/>
        </w:rPr>
        <w:t xml:space="preserve"> will each be accompanied by a phased clinical safety review and updates to the Hazard Log and C</w:t>
      </w:r>
      <w:r w:rsidR="00AC6878">
        <w:rPr>
          <w:color w:val="auto"/>
        </w:rPr>
        <w:t>SC</w:t>
      </w:r>
      <w:r w:rsidR="00136BD0" w:rsidRPr="00AC6878">
        <w:rPr>
          <w:color w:val="auto"/>
        </w:rPr>
        <w:t>R to ensure continued compliance with DCB 0129 as new functionality is introduced.</w:t>
      </w:r>
      <w:r>
        <w:rPr>
          <w:color w:val="auto"/>
        </w:rPr>
        <w:t xml:space="preserve"> For details of these iterations</w:t>
      </w:r>
      <w:r w:rsidR="00135778">
        <w:rPr>
          <w:color w:val="auto"/>
        </w:rPr>
        <w:t>,</w:t>
      </w:r>
      <w:r>
        <w:rPr>
          <w:color w:val="auto"/>
        </w:rPr>
        <w:t xml:space="preserve"> see:</w:t>
      </w:r>
    </w:p>
    <w:p w14:paraId="5ED5CF66" w14:textId="4B8259DD" w:rsidR="00633FC6" w:rsidRDefault="00633FC6" w:rsidP="00136BD0">
      <w:hyperlink r:id="rId44" w:history="1">
        <w:r w:rsidRPr="00041273">
          <w:rPr>
            <w:rStyle w:val="Hyperlink"/>
            <w:rFonts w:ascii="Arial" w:hAnsi="Arial"/>
          </w:rPr>
          <w:t>https://nhsd-confluence.digital.nhs.uk/spaces/CLP/pages/1102719581/NHSE+National+Imaging+Registry+NIR+Solution+Milestones</w:t>
        </w:r>
      </w:hyperlink>
    </w:p>
    <w:p w14:paraId="60D4C71F" w14:textId="77777777" w:rsidR="00B3622E" w:rsidRPr="00234254" w:rsidRDefault="00B3622E" w:rsidP="00136BD0">
      <w:pPr>
        <w:rPr>
          <w:color w:val="auto"/>
        </w:rPr>
      </w:pPr>
    </w:p>
    <w:p w14:paraId="2DE66AB1" w14:textId="31FDE195" w:rsidR="00F42BAE" w:rsidRPr="00BD7FB4" w:rsidRDefault="00F42BAE" w:rsidP="00105D26">
      <w:pPr>
        <w:pStyle w:val="Heading2"/>
      </w:pPr>
      <w:bookmarkStart w:id="25" w:name="_Toc214870520"/>
      <w:r>
        <w:t xml:space="preserve">Intended </w:t>
      </w:r>
      <w:r w:rsidR="0025068D">
        <w:t>Use</w:t>
      </w:r>
      <w:bookmarkEnd w:id="25"/>
    </w:p>
    <w:p w14:paraId="2775BECF" w14:textId="77777777" w:rsidR="0076246A" w:rsidRPr="007046DE" w:rsidRDefault="0076246A" w:rsidP="007046DE">
      <w:r w:rsidRPr="007046DE">
        <w:t>The National Image Registry (NIR) is intended to act as a federated discovery and retrieval service for diagnostic imaging studies across the NHS in England.</w:t>
      </w:r>
      <w:r w:rsidRPr="007046DE">
        <w:br/>
        <w:t>It provides a national infrastructure component that allows authorised NHS systems and users to identify, locate, and retrieve patient imaging data from connected regional and local repositories.</w:t>
      </w:r>
    </w:p>
    <w:p w14:paraId="6B25C305" w14:textId="1AE1BDF3" w:rsidR="0076246A" w:rsidRPr="007046DE" w:rsidRDefault="0076246A" w:rsidP="00B3622E">
      <w:pPr>
        <w:pStyle w:val="Heading3"/>
      </w:pPr>
      <w:r w:rsidRPr="007046DE">
        <w:t>Primary Intended Use</w:t>
      </w:r>
    </w:p>
    <w:p w14:paraId="22B77D05" w14:textId="77777777" w:rsidR="0076246A" w:rsidRPr="007046DE" w:rsidRDefault="0076246A" w:rsidP="007046DE">
      <w:r w:rsidRPr="007046DE">
        <w:t>The NIR is designed for use by NHS healthcare professionals and authorised clinical systems for the following core purposes:</w:t>
      </w:r>
    </w:p>
    <w:p w14:paraId="7443F95D" w14:textId="77777777" w:rsidR="0076246A" w:rsidRPr="007046DE" w:rsidRDefault="0076246A" w:rsidP="007046DE">
      <w:pPr>
        <w:rPr>
          <w:color w:val="auto"/>
        </w:rPr>
      </w:pPr>
      <w:r w:rsidRPr="007046DE">
        <w:rPr>
          <w:b/>
          <w:bCs/>
          <w:color w:val="auto"/>
        </w:rPr>
        <w:t>Clinical Care Support:</w:t>
      </w:r>
      <w:r w:rsidRPr="007046DE">
        <w:rPr>
          <w:color w:val="auto"/>
        </w:rPr>
        <w:br/>
        <w:t>To enable clinicians to discover and access existing diagnostic imaging studies (e.g. radiology, cardiology, or other modalities) previously performed at different NHS organisations, supporting continuity of care, faster diagnosis, and informed clinical decision-making.</w:t>
      </w:r>
    </w:p>
    <w:p w14:paraId="6EC248BD" w14:textId="77777777" w:rsidR="0076246A" w:rsidRPr="007046DE" w:rsidRDefault="0076246A" w:rsidP="007046DE">
      <w:pPr>
        <w:rPr>
          <w:color w:val="auto"/>
        </w:rPr>
      </w:pPr>
      <w:r w:rsidRPr="007046DE">
        <w:rPr>
          <w:b/>
          <w:bCs/>
          <w:color w:val="auto"/>
        </w:rPr>
        <w:t>Federated Image Retrieval:</w:t>
      </w:r>
      <w:r w:rsidRPr="007046DE">
        <w:rPr>
          <w:color w:val="auto"/>
        </w:rPr>
        <w:br/>
        <w:t>To facilitate the secure exchange of imaging data between NHS Trusts and integrated care systems without requiring central storage of clinical images.</w:t>
      </w:r>
    </w:p>
    <w:p w14:paraId="2E6D607D" w14:textId="77777777" w:rsidR="0076246A" w:rsidRPr="007046DE" w:rsidRDefault="0076246A" w:rsidP="007046DE">
      <w:pPr>
        <w:rPr>
          <w:color w:val="auto"/>
        </w:rPr>
      </w:pPr>
      <w:r w:rsidRPr="007046DE">
        <w:rPr>
          <w:b/>
          <w:bCs/>
          <w:color w:val="auto"/>
        </w:rPr>
        <w:t>Metadata Registry and Discovery:</w:t>
      </w:r>
      <w:r w:rsidRPr="007046DE">
        <w:rPr>
          <w:color w:val="auto"/>
        </w:rPr>
        <w:br/>
        <w:t>To index and provide access to image metadata, supporting consistent data structures and interoperability across the NHS imaging estate.</w:t>
      </w:r>
    </w:p>
    <w:p w14:paraId="351B6F8E" w14:textId="77777777" w:rsidR="0076246A" w:rsidRPr="007046DE" w:rsidRDefault="0076246A" w:rsidP="007046DE">
      <w:pPr>
        <w:rPr>
          <w:color w:val="auto"/>
        </w:rPr>
      </w:pPr>
      <w:r w:rsidRPr="007046DE">
        <w:rPr>
          <w:b/>
          <w:bCs/>
          <w:color w:val="auto"/>
        </w:rPr>
        <w:lastRenderedPageBreak/>
        <w:t>Integration with NHS Platforms:</w:t>
      </w:r>
      <w:r w:rsidRPr="007046DE">
        <w:rPr>
          <w:color w:val="auto"/>
        </w:rPr>
        <w:br/>
        <w:t xml:space="preserve">To publish image availability information to the </w:t>
      </w:r>
      <w:r w:rsidRPr="007046DE">
        <w:rPr>
          <w:b/>
          <w:bCs/>
          <w:color w:val="auto"/>
        </w:rPr>
        <w:t>National Record Locator (NRL)</w:t>
      </w:r>
      <w:r w:rsidRPr="007046DE">
        <w:rPr>
          <w:color w:val="auto"/>
        </w:rPr>
        <w:t xml:space="preserve"> and allow other authorised NHS systems to discover the existence and location of imaging data for a patient.</w:t>
      </w:r>
    </w:p>
    <w:p w14:paraId="789373BF" w14:textId="77777777" w:rsidR="0076246A" w:rsidRPr="007046DE" w:rsidRDefault="0076246A" w:rsidP="007046DE">
      <w:pPr>
        <w:rPr>
          <w:color w:val="auto"/>
        </w:rPr>
      </w:pPr>
      <w:r w:rsidRPr="007046DE">
        <w:rPr>
          <w:b/>
          <w:bCs/>
          <w:color w:val="auto"/>
        </w:rPr>
        <w:t>Operational Reporting and Governance:</w:t>
      </w:r>
      <w:r w:rsidRPr="007046DE">
        <w:rPr>
          <w:color w:val="auto"/>
        </w:rPr>
        <w:br/>
        <w:t>To provide observability dashboards and audit data that support performance monitoring, safety governance, and supplier conformance reviews.</w:t>
      </w:r>
    </w:p>
    <w:p w14:paraId="4BCC6C6F" w14:textId="77777777" w:rsidR="0076246A" w:rsidRDefault="0076246A" w:rsidP="007046DE">
      <w:pPr>
        <w:rPr>
          <w:color w:val="auto"/>
        </w:rPr>
      </w:pPr>
      <w:r w:rsidRPr="007046DE">
        <w:rPr>
          <w:color w:val="auto"/>
        </w:rPr>
        <w:t>The NIR is intended to operate as a system-to-system service, with direct human interaction occurring through clinical systems that integrate with it, such as PACS viewers, radiology portals, and regional imaging platforms.</w:t>
      </w:r>
    </w:p>
    <w:p w14:paraId="134D0E42" w14:textId="624E03B8" w:rsidR="0076246A" w:rsidRPr="007046DE" w:rsidRDefault="0076246A" w:rsidP="00B3622E">
      <w:pPr>
        <w:pStyle w:val="Heading3"/>
      </w:pPr>
      <w:r w:rsidRPr="007046DE">
        <w:t>Intended Users</w:t>
      </w:r>
    </w:p>
    <w:p w14:paraId="0E28BFF7" w14:textId="77777777" w:rsidR="0076246A" w:rsidRPr="007046DE" w:rsidRDefault="0076246A" w:rsidP="00162FE6">
      <w:r w:rsidRPr="007046DE">
        <w:t>The NIR may be accessed or utilised by:</w:t>
      </w:r>
    </w:p>
    <w:p w14:paraId="4C590CDE" w14:textId="77777777" w:rsidR="0076246A" w:rsidRDefault="0076246A" w:rsidP="00143DD5">
      <w:pPr>
        <w:pStyle w:val="ListParagraph"/>
        <w:numPr>
          <w:ilvl w:val="0"/>
          <w:numId w:val="34"/>
        </w:numPr>
        <w:spacing w:after="160" w:line="278" w:lineRule="auto"/>
        <w:textboxTightWrap w:val="none"/>
        <w:rPr>
          <w:color w:val="auto"/>
        </w:rPr>
      </w:pPr>
      <w:r w:rsidRPr="007046DE">
        <w:rPr>
          <w:b/>
          <w:bCs/>
          <w:color w:val="auto"/>
        </w:rPr>
        <w:t>NHS Trust and Integrated Care System (ICS) clinicians</w:t>
      </w:r>
      <w:r w:rsidRPr="007046DE">
        <w:rPr>
          <w:color w:val="auto"/>
        </w:rPr>
        <w:t xml:space="preserve"> accessing imaging studies for direct patient care.</w:t>
      </w:r>
    </w:p>
    <w:p w14:paraId="0AC019DB" w14:textId="2902BE18" w:rsidR="00633FC6" w:rsidRPr="007046DE" w:rsidRDefault="00633FC6" w:rsidP="00143DD5">
      <w:pPr>
        <w:pStyle w:val="ListParagraph"/>
        <w:numPr>
          <w:ilvl w:val="0"/>
          <w:numId w:val="34"/>
        </w:numPr>
        <w:spacing w:after="160" w:line="278" w:lineRule="auto"/>
        <w:textboxTightWrap w:val="none"/>
        <w:rPr>
          <w:color w:val="auto"/>
        </w:rPr>
      </w:pPr>
      <w:r>
        <w:rPr>
          <w:b/>
          <w:bCs/>
          <w:color w:val="auto"/>
        </w:rPr>
        <w:t xml:space="preserve">Private Imaging organisations </w:t>
      </w:r>
      <w:r w:rsidRPr="007046DE">
        <w:rPr>
          <w:b/>
          <w:bCs/>
          <w:color w:val="auto"/>
        </w:rPr>
        <w:t>staff</w:t>
      </w:r>
      <w:r w:rsidRPr="007046DE">
        <w:rPr>
          <w:color w:val="auto"/>
        </w:rPr>
        <w:t xml:space="preserve"> using integrated PACS or diagnostic viewers.</w:t>
      </w:r>
    </w:p>
    <w:p w14:paraId="0F4F8BF3" w14:textId="77777777" w:rsidR="0076246A" w:rsidRPr="007046DE" w:rsidRDefault="0076246A" w:rsidP="00143DD5">
      <w:pPr>
        <w:pStyle w:val="ListParagraph"/>
        <w:numPr>
          <w:ilvl w:val="0"/>
          <w:numId w:val="34"/>
        </w:numPr>
        <w:spacing w:after="160" w:line="278" w:lineRule="auto"/>
        <w:textboxTightWrap w:val="none"/>
        <w:rPr>
          <w:color w:val="auto"/>
        </w:rPr>
      </w:pPr>
      <w:r w:rsidRPr="007046DE">
        <w:rPr>
          <w:b/>
          <w:bCs/>
          <w:color w:val="auto"/>
        </w:rPr>
        <w:t>Radiologists and reporting staff</w:t>
      </w:r>
      <w:r w:rsidRPr="007046DE">
        <w:rPr>
          <w:color w:val="auto"/>
        </w:rPr>
        <w:t xml:space="preserve"> using integrated PACS or diagnostic viewers.</w:t>
      </w:r>
    </w:p>
    <w:p w14:paraId="79B8A0F2" w14:textId="77777777" w:rsidR="0076246A" w:rsidRPr="007046DE" w:rsidRDefault="0076246A" w:rsidP="00143DD5">
      <w:pPr>
        <w:pStyle w:val="ListParagraph"/>
        <w:numPr>
          <w:ilvl w:val="0"/>
          <w:numId w:val="34"/>
        </w:numPr>
        <w:spacing w:after="160" w:line="278" w:lineRule="auto"/>
        <w:textboxTightWrap w:val="none"/>
        <w:rPr>
          <w:color w:val="auto"/>
        </w:rPr>
      </w:pPr>
      <w:r w:rsidRPr="007046DE">
        <w:rPr>
          <w:b/>
          <w:bCs/>
          <w:color w:val="auto"/>
        </w:rPr>
        <w:t>Clinical and IT system administrators</w:t>
      </w:r>
      <w:r w:rsidRPr="007046DE">
        <w:rPr>
          <w:color w:val="auto"/>
        </w:rPr>
        <w:t xml:space="preserve"> responsible for configuring and monitoring interoperability between NIR and local systems.</w:t>
      </w:r>
    </w:p>
    <w:p w14:paraId="61D3E565" w14:textId="77777777" w:rsidR="008B36A3" w:rsidRDefault="0076246A" w:rsidP="008B36A3">
      <w:pPr>
        <w:pStyle w:val="ListParagraph"/>
        <w:numPr>
          <w:ilvl w:val="0"/>
          <w:numId w:val="34"/>
        </w:numPr>
        <w:spacing w:after="160" w:line="278" w:lineRule="auto"/>
        <w:textboxTightWrap w:val="none"/>
        <w:rPr>
          <w:color w:val="auto"/>
        </w:rPr>
      </w:pPr>
      <w:r w:rsidRPr="007046DE">
        <w:rPr>
          <w:b/>
          <w:bCs/>
          <w:color w:val="auto"/>
        </w:rPr>
        <w:t>NHS England programme and governance teams</w:t>
      </w:r>
      <w:r w:rsidRPr="007046DE">
        <w:rPr>
          <w:color w:val="auto"/>
        </w:rPr>
        <w:t xml:space="preserve"> responsible for oversight, safety monitoring, and supplier assurance.</w:t>
      </w:r>
    </w:p>
    <w:p w14:paraId="42EA31E0" w14:textId="55596711" w:rsidR="008B36A3" w:rsidRPr="008B36A3" w:rsidRDefault="008B36A3" w:rsidP="008B36A3">
      <w:pPr>
        <w:pStyle w:val="ListParagraph"/>
        <w:numPr>
          <w:ilvl w:val="0"/>
          <w:numId w:val="34"/>
        </w:numPr>
        <w:spacing w:after="160" w:line="276" w:lineRule="auto"/>
        <w:textboxTightWrap w:val="none"/>
        <w:rPr>
          <w:rFonts w:asciiTheme="minorHAnsi" w:hAnsiTheme="minorHAnsi" w:cstheme="minorHAnsi"/>
          <w:b/>
          <w:bCs/>
          <w:color w:val="auto"/>
        </w:rPr>
      </w:pPr>
      <w:r w:rsidRPr="008B36A3">
        <w:rPr>
          <w:rFonts w:asciiTheme="minorHAnsi" w:hAnsiTheme="minorHAnsi" w:cstheme="minorHAnsi"/>
          <w:b/>
          <w:bCs/>
          <w:color w:val="auto"/>
          <w:lang w:eastAsia="en-GB"/>
        </w:rPr>
        <w:t xml:space="preserve">Coroner access </w:t>
      </w:r>
    </w:p>
    <w:p w14:paraId="3E623DD7" w14:textId="7C1DDDF6" w:rsidR="008B36A3" w:rsidRPr="008B36A3" w:rsidRDefault="008B36A3" w:rsidP="008B36A3">
      <w:pPr>
        <w:pStyle w:val="ListParagraph"/>
        <w:numPr>
          <w:ilvl w:val="0"/>
          <w:numId w:val="34"/>
        </w:numPr>
        <w:spacing w:after="160" w:line="276" w:lineRule="auto"/>
        <w:textboxTightWrap w:val="none"/>
        <w:rPr>
          <w:rFonts w:asciiTheme="minorHAnsi" w:hAnsiTheme="minorHAnsi" w:cstheme="minorHAnsi"/>
          <w:b/>
          <w:bCs/>
          <w:color w:val="auto"/>
        </w:rPr>
      </w:pPr>
      <w:r w:rsidRPr="008B36A3">
        <w:rPr>
          <w:rFonts w:asciiTheme="minorHAnsi" w:hAnsiTheme="minorHAnsi" w:cstheme="minorHAnsi"/>
          <w:b/>
          <w:bCs/>
          <w:color w:val="auto"/>
          <w:lang w:eastAsia="en-GB"/>
        </w:rPr>
        <w:t>Private providers</w:t>
      </w:r>
    </w:p>
    <w:p w14:paraId="0BE84771" w14:textId="77777777" w:rsidR="0076246A" w:rsidRPr="007046DE" w:rsidRDefault="0076246A" w:rsidP="00162FE6">
      <w:r w:rsidRPr="007046DE">
        <w:t>Access is strictly governed through identity federation and role-based access controls consistent with NHS England’s Zero Trust security model.</w:t>
      </w:r>
    </w:p>
    <w:p w14:paraId="2779DFB6" w14:textId="62810AA6" w:rsidR="0076246A" w:rsidRPr="007046DE" w:rsidRDefault="0076246A" w:rsidP="00105D26">
      <w:pPr>
        <w:pStyle w:val="Heading2"/>
      </w:pPr>
      <w:bookmarkStart w:id="26" w:name="_Toc214870521"/>
      <w:r w:rsidRPr="007046DE">
        <w:t>Exclusions (Non-Intended Use)</w:t>
      </w:r>
      <w:bookmarkEnd w:id="26"/>
    </w:p>
    <w:p w14:paraId="098812DA" w14:textId="77777777" w:rsidR="0076246A" w:rsidRPr="00E906B4" w:rsidRDefault="0076246A" w:rsidP="00162FE6">
      <w:r w:rsidRPr="00E906B4">
        <w:t>The following are explicitly excluded from the intended use of the NIR:</w:t>
      </w:r>
    </w:p>
    <w:p w14:paraId="4447DE7B" w14:textId="77777777" w:rsidR="0076246A" w:rsidRPr="00E906B4" w:rsidRDefault="0076246A" w:rsidP="00162FE6">
      <w:r w:rsidRPr="00E906B4">
        <w:t>Patient-Facing Applications:</w:t>
      </w:r>
      <w:r w:rsidRPr="00E906B4">
        <w:br/>
        <w:t>The NIR is not accessible directly by patients, the public, or patient-held record systems. Access occurs only through authorised NHS clinical or administrative systems.</w:t>
      </w:r>
    </w:p>
    <w:p w14:paraId="142EF1BF" w14:textId="77777777" w:rsidR="0076246A" w:rsidRPr="00E906B4" w:rsidRDefault="0076246A" w:rsidP="00162FE6">
      <w:r w:rsidRPr="00E906B4">
        <w:t>Direct Diagnostic Interpretation or Image Manipulation:</w:t>
      </w:r>
      <w:r w:rsidRPr="00E906B4">
        <w:br/>
        <w:t>The NIR does not provide diagnostic viewing, annotation, or image manipulation capabilities. These remain functions of local or regional PACS systems.</w:t>
      </w:r>
    </w:p>
    <w:p w14:paraId="67FCF6CA" w14:textId="77777777" w:rsidR="0076246A" w:rsidRPr="00E906B4" w:rsidRDefault="0076246A" w:rsidP="00162FE6">
      <w:r w:rsidRPr="00E906B4">
        <w:t>Image Storage or Archiving:</w:t>
      </w:r>
      <w:r w:rsidRPr="00E906B4">
        <w:br/>
        <w:t>The NIR does not host or archive clinical image data. Images remain in the originating systems, which maintain clinical and information governance responsibility.</w:t>
      </w:r>
    </w:p>
    <w:p w14:paraId="6E948B61" w14:textId="77777777" w:rsidR="0076246A" w:rsidRPr="00E906B4" w:rsidRDefault="0076246A" w:rsidP="00162FE6">
      <w:r w:rsidRPr="00E906B4">
        <w:t>Secondary Use of Data:</w:t>
      </w:r>
      <w:r w:rsidRPr="00E906B4">
        <w:br/>
        <w:t>The NIR is not intended for research, artificial intelligence (AI), audit, or population health analytics purposes. Such use requires separate information governance and safety assessments.</w:t>
      </w:r>
    </w:p>
    <w:p w14:paraId="53B40CEF" w14:textId="77777777" w:rsidR="0076246A" w:rsidRPr="00E906B4" w:rsidRDefault="0076246A" w:rsidP="00162FE6">
      <w:r w:rsidRPr="00E906B4">
        <w:lastRenderedPageBreak/>
        <w:t>Non-Healthcare Use Cases:</w:t>
      </w:r>
      <w:r w:rsidRPr="00E906B4">
        <w:br/>
        <w:t>The system is not designed for use outside NHS care settings or by commercial entities unauthorised under NHS England frameworks.</w:t>
      </w:r>
    </w:p>
    <w:p w14:paraId="523D4BE8" w14:textId="1A0FC3C2" w:rsidR="0076246A" w:rsidRPr="00E906B4" w:rsidRDefault="0076246A" w:rsidP="00105D26">
      <w:pPr>
        <w:pStyle w:val="Heading2"/>
      </w:pPr>
      <w:bookmarkStart w:id="27" w:name="_Toc214870522"/>
      <w:r w:rsidRPr="00B938B9">
        <w:t>Limitations</w:t>
      </w:r>
      <w:bookmarkEnd w:id="27"/>
    </w:p>
    <w:p w14:paraId="1495E3DE" w14:textId="77777777" w:rsidR="0076246A" w:rsidRPr="00E906B4" w:rsidRDefault="0076246A" w:rsidP="00162FE6">
      <w:r w:rsidRPr="00E906B4">
        <w:t>Dependency on Source System Integrity:</w:t>
      </w:r>
      <w:r w:rsidRPr="00E906B4">
        <w:br/>
        <w:t>The NIR indexes and retrieves data from local PACS/VNA repositories; therefore, the accuracy and completeness of imaging data depend on those source systems. The NIR does not validate clinical content or image quality.</w:t>
      </w:r>
    </w:p>
    <w:p w14:paraId="5553744B" w14:textId="1BCA7BAA" w:rsidR="0076246A" w:rsidRPr="00E906B4" w:rsidRDefault="0076246A" w:rsidP="00162FE6">
      <w:r w:rsidRPr="00E906B4">
        <w:t>Metadata-Only Model:</w:t>
      </w:r>
      <w:r w:rsidRPr="00E906B4">
        <w:br/>
        <w:t xml:space="preserve">The NIR holds only </w:t>
      </w:r>
      <w:r w:rsidR="00633FC6">
        <w:t xml:space="preserve">imaging / report record </w:t>
      </w:r>
      <w:r w:rsidRPr="00E906B4">
        <w:t>metadata. Errors in metadata (e.g. patient ID mismatch or incorrect study references) could temporarily affect discovery until corrected by the source system.</w:t>
      </w:r>
    </w:p>
    <w:p w14:paraId="7DA1475F" w14:textId="77777777" w:rsidR="0076246A" w:rsidRPr="00E906B4" w:rsidRDefault="0076246A" w:rsidP="00162FE6">
      <w:r w:rsidRPr="00E906B4">
        <w:t>Connectivity and Performance:</w:t>
      </w:r>
      <w:r w:rsidRPr="00E906B4">
        <w:br/>
        <w:t>The system’s availability and responsiveness are subject to the network performance and uptime of connected regional systems and gateways.</w:t>
      </w:r>
    </w:p>
    <w:p w14:paraId="2F3BF775" w14:textId="041322E7" w:rsidR="0076246A" w:rsidRPr="00E906B4" w:rsidRDefault="0076246A" w:rsidP="00162FE6">
      <w:r w:rsidRPr="00E906B4">
        <w:t>Standards Evolution:</w:t>
      </w:r>
      <w:r w:rsidRPr="00E906B4">
        <w:br/>
        <w:t>While compliant with current IHE standards, variations in vendor implementation may occasionally limit interoperability until updated through supplier conformance testing.</w:t>
      </w:r>
    </w:p>
    <w:p w14:paraId="17CC70C4" w14:textId="6438BA89" w:rsidR="008B1E4A" w:rsidRDefault="0076246A" w:rsidP="007F42BE">
      <w:r w:rsidRPr="00E906B4">
        <w:t>Geographical Scope:</w:t>
      </w:r>
      <w:r w:rsidRPr="00E906B4">
        <w:br/>
        <w:t xml:space="preserve">The NIR is currently limited to NHS England. Interoperability with devolved nations (Scotland, Wales, Northern Ireland) will be developed in later </w:t>
      </w:r>
      <w:r w:rsidR="00633FC6">
        <w:t>iterations</w:t>
      </w:r>
      <w:r w:rsidRPr="00E906B4">
        <w:t xml:space="preserve"> and is not within the scope of this safety case.</w:t>
      </w:r>
    </w:p>
    <w:p w14:paraId="22F1DF24" w14:textId="2347DC9D" w:rsidR="00022795" w:rsidRDefault="00022795" w:rsidP="007F42BE">
      <w:r>
        <w:t>Reports retrieved via NIR reflect the state of the source system at the time of query. Subsequent updates (</w:t>
      </w:r>
      <w:r>
        <w:t xml:space="preserve">such as </w:t>
      </w:r>
      <w:r>
        <w:t>radiology addenda) will not be visible unless a new query is performed.</w:t>
      </w:r>
    </w:p>
    <w:p w14:paraId="5586F2B1" w14:textId="77777777" w:rsidR="007F42BE" w:rsidRPr="00331FE5" w:rsidRDefault="007F42BE" w:rsidP="007F42BE">
      <w:pPr>
        <w:rPr>
          <w:rFonts w:asciiTheme="minorHAnsi" w:hAnsiTheme="minorHAnsi" w:cstheme="minorBidi"/>
          <w:color w:val="auto"/>
          <w:sz w:val="22"/>
          <w:szCs w:val="22"/>
        </w:rPr>
      </w:pPr>
    </w:p>
    <w:p w14:paraId="0FEFF743" w14:textId="5EC8072E" w:rsidR="009424AE" w:rsidRPr="00BD7FB4" w:rsidRDefault="009424AE" w:rsidP="00105D26">
      <w:pPr>
        <w:pStyle w:val="Heading2"/>
      </w:pPr>
      <w:bookmarkStart w:id="28" w:name="_Medical_Device_Regulations"/>
      <w:bookmarkStart w:id="29" w:name="_Toc214870523"/>
      <w:bookmarkEnd w:id="28"/>
      <w:r w:rsidRPr="00BD7FB4">
        <w:t>Medical Device Regulations</w:t>
      </w:r>
      <w:bookmarkEnd w:id="29"/>
    </w:p>
    <w:p w14:paraId="3A222FE2" w14:textId="77777777" w:rsidR="009E3017" w:rsidRPr="00A45D12" w:rsidRDefault="009E3017" w:rsidP="009E3017">
      <w:r w:rsidRPr="00A45D12">
        <w:t xml:space="preserve">In accordance with the Medicines and Healthcare products Regulatory Agency (MHRA) guidance </w:t>
      </w:r>
      <w:r w:rsidRPr="00A45D12">
        <w:rPr>
          <w:i/>
          <w:iCs/>
        </w:rPr>
        <w:t>“Medical Device Stand-Alone Software including Apps”</w:t>
      </w:r>
      <w:r w:rsidRPr="00A45D12">
        <w:t xml:space="preserve"> and MEDDEV 2.1/6, an assessment has been undertaken to determine whether the National Image Registry (NIR) qualifies as a medical device or in vitro diagnostic medical device (IVDMD) under the UK Medical Devices Regulations 2002 (as amended).</w:t>
      </w:r>
    </w:p>
    <w:p w14:paraId="4C93C9BE" w14:textId="77777777" w:rsidR="009E3017" w:rsidRPr="00E12D90" w:rsidRDefault="009E3017" w:rsidP="009E3017">
      <w:r w:rsidRPr="00A45D12">
        <w:t>This assessment was performed to ensure that appropriate regulatory pathways are followed and that clinical safety assurance is correctly aligned to the DCB 0129 framework where</w:t>
      </w:r>
      <w:r w:rsidRPr="00E12D90">
        <w:t xml:space="preserve"> applicable.</w:t>
      </w:r>
    </w:p>
    <w:p w14:paraId="4D1B32D8" w14:textId="082CD6D1" w:rsidR="009E3017" w:rsidRPr="00E12D90" w:rsidRDefault="009E3017" w:rsidP="009E3017">
      <w:pPr>
        <w:rPr>
          <w:b/>
          <w:bCs/>
        </w:rPr>
      </w:pPr>
      <w:r w:rsidRPr="00E12D90">
        <w:rPr>
          <w:b/>
          <w:bCs/>
        </w:rPr>
        <w:t>Assessment Criteria</w:t>
      </w:r>
    </w:p>
    <w:p w14:paraId="277A7711" w14:textId="77777777" w:rsidR="009E3017" w:rsidRPr="00E12D90" w:rsidRDefault="009E3017" w:rsidP="009E3017">
      <w:r w:rsidRPr="00E12D90">
        <w:t>The MHRA classification guidance provides criteria to determine whether software constitutes a medical device, including consideration of whether the software:</w:t>
      </w:r>
    </w:p>
    <w:p w14:paraId="20367E8D" w14:textId="77777777" w:rsidR="009E3017" w:rsidRPr="00E12D90" w:rsidRDefault="009E3017" w:rsidP="00143DD5">
      <w:pPr>
        <w:numPr>
          <w:ilvl w:val="0"/>
          <w:numId w:val="35"/>
        </w:numPr>
        <w:spacing w:after="160" w:line="278" w:lineRule="auto"/>
        <w:textboxTightWrap w:val="none"/>
      </w:pPr>
      <w:r w:rsidRPr="00E12D90">
        <w:t xml:space="preserve">Performs an </w:t>
      </w:r>
      <w:r w:rsidRPr="00E12D90">
        <w:rPr>
          <w:b/>
          <w:bCs/>
        </w:rPr>
        <w:t>action on data</w:t>
      </w:r>
      <w:r w:rsidRPr="00E12D90">
        <w:t xml:space="preserve"> (e.g. analysis, interpretation, diagnosis, or decision support) that influences patient management;</w:t>
      </w:r>
    </w:p>
    <w:p w14:paraId="65A1A39D" w14:textId="77777777" w:rsidR="009E3017" w:rsidRPr="00E12D90" w:rsidRDefault="009E3017" w:rsidP="00143DD5">
      <w:pPr>
        <w:numPr>
          <w:ilvl w:val="0"/>
          <w:numId w:val="35"/>
        </w:numPr>
        <w:spacing w:after="160" w:line="278" w:lineRule="auto"/>
        <w:textboxTightWrap w:val="none"/>
      </w:pPr>
      <w:r w:rsidRPr="00E12D90">
        <w:t xml:space="preserve">Provides </w:t>
      </w:r>
      <w:r w:rsidRPr="00E12D90">
        <w:rPr>
          <w:b/>
          <w:bCs/>
        </w:rPr>
        <w:t>results, calculations, or recommendations</w:t>
      </w:r>
      <w:r w:rsidRPr="00E12D90">
        <w:t xml:space="preserve"> that inform or drive clinical decisions;</w:t>
      </w:r>
    </w:p>
    <w:p w14:paraId="050EA750" w14:textId="77777777" w:rsidR="009E3017" w:rsidRPr="00E12D90" w:rsidRDefault="009E3017" w:rsidP="00143DD5">
      <w:pPr>
        <w:numPr>
          <w:ilvl w:val="0"/>
          <w:numId w:val="35"/>
        </w:numPr>
        <w:spacing w:after="160" w:line="278" w:lineRule="auto"/>
        <w:textboxTightWrap w:val="none"/>
      </w:pPr>
      <w:r w:rsidRPr="00E12D90">
        <w:lastRenderedPageBreak/>
        <w:t xml:space="preserve">Is used for </w:t>
      </w:r>
      <w:r w:rsidRPr="00E12D90">
        <w:rPr>
          <w:b/>
          <w:bCs/>
        </w:rPr>
        <w:t>diagnosis, prevention, monitoring, treatment, or alleviation</w:t>
      </w:r>
      <w:r w:rsidRPr="00E12D90">
        <w:t xml:space="preserve"> of disease, injury, or disability;</w:t>
      </w:r>
    </w:p>
    <w:p w14:paraId="1E356368" w14:textId="77777777" w:rsidR="009E3017" w:rsidRPr="00E12D90" w:rsidRDefault="009E3017" w:rsidP="00143DD5">
      <w:pPr>
        <w:numPr>
          <w:ilvl w:val="0"/>
          <w:numId w:val="35"/>
        </w:numPr>
        <w:spacing w:after="160" w:line="278" w:lineRule="auto"/>
        <w:textboxTightWrap w:val="none"/>
      </w:pPr>
      <w:r w:rsidRPr="00E12D90">
        <w:t xml:space="preserve">Operates </w:t>
      </w:r>
      <w:r w:rsidRPr="00E12D90">
        <w:rPr>
          <w:b/>
          <w:bCs/>
        </w:rPr>
        <w:t>independently of other medical devices</w:t>
      </w:r>
      <w:r w:rsidRPr="00E12D90">
        <w:t xml:space="preserve"> to provide diagnostic or therapeutic functionality;</w:t>
      </w:r>
    </w:p>
    <w:p w14:paraId="0133613B" w14:textId="77777777" w:rsidR="009E3017" w:rsidRPr="00E12D90" w:rsidRDefault="009E3017" w:rsidP="00143DD5">
      <w:pPr>
        <w:numPr>
          <w:ilvl w:val="0"/>
          <w:numId w:val="35"/>
        </w:numPr>
        <w:spacing w:after="160" w:line="278" w:lineRule="auto"/>
        <w:textboxTightWrap w:val="none"/>
      </w:pPr>
      <w:r w:rsidRPr="00E12D90">
        <w:t xml:space="preserve">Outputs </w:t>
      </w:r>
      <w:r w:rsidRPr="00E12D90">
        <w:rPr>
          <w:b/>
          <w:bCs/>
        </w:rPr>
        <w:t>clinical or diagnostic conclusions</w:t>
      </w:r>
      <w:r w:rsidRPr="00E12D90">
        <w:t xml:space="preserve"> rather than simply facilitating access or communication of data.</w:t>
      </w:r>
    </w:p>
    <w:p w14:paraId="2B25BCBF" w14:textId="77777777" w:rsidR="009E3017" w:rsidRPr="00A45D12" w:rsidRDefault="009E3017" w:rsidP="009E3017">
      <w:r w:rsidRPr="00A45D12">
        <w:t>Software that solely stores, transfers, converts format, or displays data without interpretation or modification is not considered a medical device under this guidance.</w:t>
      </w:r>
    </w:p>
    <w:p w14:paraId="1FF0F19C" w14:textId="06C34D5D" w:rsidR="009E3017" w:rsidRPr="00E12D90" w:rsidRDefault="009E3017" w:rsidP="009E3017">
      <w:pPr>
        <w:rPr>
          <w:b/>
          <w:bCs/>
        </w:rPr>
      </w:pPr>
      <w:r w:rsidRPr="00E12D90">
        <w:rPr>
          <w:b/>
          <w:bCs/>
        </w:rPr>
        <w:t>NIR Assessment Summary</w:t>
      </w:r>
    </w:p>
    <w:p w14:paraId="7971B90C" w14:textId="77777777" w:rsidR="009E3017" w:rsidRPr="00A45D12" w:rsidRDefault="009E3017" w:rsidP="009E3017">
      <w:r w:rsidRPr="00A45D12">
        <w:t xml:space="preserve">Applying the MHRA and MEDDEV 2.1/6 criteria, the NIR has been assessed as </w:t>
      </w:r>
      <w:r w:rsidRPr="00A45D12">
        <w:rPr>
          <w:i/>
          <w:iCs/>
        </w:rPr>
        <w:t>not constituting a medical device</w:t>
      </w:r>
      <w:r w:rsidRPr="00A45D12">
        <w:t>.</w:t>
      </w:r>
      <w:r w:rsidRPr="00A45D12">
        <w:br/>
        <w:t>The justification for this determination is as follows:</w:t>
      </w:r>
    </w:p>
    <w:p w14:paraId="1AD4F739" w14:textId="77777777" w:rsidR="009E3017" w:rsidRPr="00A45D12" w:rsidRDefault="009E3017" w:rsidP="00143DD5">
      <w:pPr>
        <w:numPr>
          <w:ilvl w:val="0"/>
          <w:numId w:val="36"/>
        </w:numPr>
        <w:spacing w:after="160" w:line="278" w:lineRule="auto"/>
        <w:textboxTightWrap w:val="none"/>
      </w:pPr>
      <w:r w:rsidRPr="00A45D12">
        <w:t>The NIR does not perform diagnostic or interpretive functions. It provides a registry and retrieval service for imaging metadata and does not analyse, modify, or interpret clinical data.</w:t>
      </w:r>
    </w:p>
    <w:p w14:paraId="771D14E7" w14:textId="77777777" w:rsidR="009E3017" w:rsidRPr="00A45D12" w:rsidRDefault="009E3017" w:rsidP="00143DD5">
      <w:pPr>
        <w:numPr>
          <w:ilvl w:val="0"/>
          <w:numId w:val="36"/>
        </w:numPr>
        <w:spacing w:after="160" w:line="278" w:lineRule="auto"/>
        <w:textboxTightWrap w:val="none"/>
      </w:pPr>
      <w:r w:rsidRPr="00A45D12">
        <w:t>The NIR does not generate or alter diagnostic information. It indexes and points to existing imaging studies stored within local and regional PACS/VNA systems, which retain their role as the authoritative source of clinical imaging data.</w:t>
      </w:r>
    </w:p>
    <w:p w14:paraId="31B7E1E6" w14:textId="77777777" w:rsidR="009E3017" w:rsidRPr="00A45D12" w:rsidRDefault="009E3017" w:rsidP="00143DD5">
      <w:pPr>
        <w:numPr>
          <w:ilvl w:val="0"/>
          <w:numId w:val="36"/>
        </w:numPr>
        <w:spacing w:after="160" w:line="278" w:lineRule="auto"/>
        <w:textboxTightWrap w:val="none"/>
      </w:pPr>
      <w:r w:rsidRPr="00A45D12">
        <w:t>The system’s output is limited to metadata (e.g., identifiers, study details, and location references) that enable users or integrated clinical systems to locate and access the original imaging data.</w:t>
      </w:r>
    </w:p>
    <w:p w14:paraId="7661F152" w14:textId="77777777" w:rsidR="009E3017" w:rsidRPr="00A45D12" w:rsidRDefault="009E3017" w:rsidP="00143DD5">
      <w:pPr>
        <w:numPr>
          <w:ilvl w:val="0"/>
          <w:numId w:val="36"/>
        </w:numPr>
        <w:spacing w:after="160" w:line="278" w:lineRule="auto"/>
        <w:textboxTightWrap w:val="none"/>
      </w:pPr>
      <w:r w:rsidRPr="00A45D12">
        <w:t>All diagnostic review, image analysis, and reporting occur in external clinical systems (e.g., PACS viewers or radiology workstations) that are independently regulated and safety-assured under DCB 0160 or medical device frameworks where applicable.</w:t>
      </w:r>
    </w:p>
    <w:p w14:paraId="2673BC8B" w14:textId="77777777" w:rsidR="009E3017" w:rsidRPr="00A45D12" w:rsidRDefault="009E3017" w:rsidP="00143DD5">
      <w:pPr>
        <w:numPr>
          <w:ilvl w:val="0"/>
          <w:numId w:val="36"/>
        </w:numPr>
        <w:spacing w:after="160" w:line="278" w:lineRule="auto"/>
        <w:textboxTightWrap w:val="none"/>
      </w:pPr>
      <w:r w:rsidRPr="00A45D12">
        <w:t>The NIR does not provide clinical decision support or influence the diagnostic or treatment pathway; it functions as a data discovery and transfer infrastructure only.</w:t>
      </w:r>
    </w:p>
    <w:p w14:paraId="4114EDBF" w14:textId="77777777" w:rsidR="009E3017" w:rsidRPr="00E12D90" w:rsidRDefault="009E3017" w:rsidP="009E3017">
      <w:r w:rsidRPr="00E12D90">
        <w:t>Accordingly, the NIR does not meet the definition of software “intended for the purpose of diagnosis or therapeutic intervention” under the MHRA classification rules.</w:t>
      </w:r>
    </w:p>
    <w:p w14:paraId="31F6AD37" w14:textId="77777777" w:rsidR="009E3017" w:rsidRPr="00023EEB" w:rsidRDefault="009E3017" w:rsidP="009E3017">
      <w:r w:rsidRPr="00023EEB">
        <w:t>As the NIR is not a medical device, it does not fall under the UKCA marking or MHRA registration requirements.</w:t>
      </w:r>
      <w:r w:rsidRPr="00023EEB">
        <w:br/>
        <w:t>Instead, the NIR is governed under the NHS Digital DCB 0129 Clinical Risk Management Standard, which is the appropriate safety framework for health IT systems that support clinical workflows without performing medical-device functions.</w:t>
      </w:r>
    </w:p>
    <w:p w14:paraId="7CD5B714" w14:textId="2CA9FAC1" w:rsidR="009E3017" w:rsidRPr="00E12D90" w:rsidRDefault="009E3017" w:rsidP="009E3017">
      <w:pPr>
        <w:rPr>
          <w:b/>
          <w:bCs/>
        </w:rPr>
      </w:pPr>
      <w:r w:rsidRPr="00E12D90">
        <w:rPr>
          <w:b/>
          <w:bCs/>
        </w:rPr>
        <w:t>Documentation and Record of Assessment</w:t>
      </w:r>
    </w:p>
    <w:p w14:paraId="2DDD6D6F" w14:textId="3F2F596A" w:rsidR="009E3017" w:rsidRPr="00535065" w:rsidRDefault="009E3017" w:rsidP="009E3017">
      <w:r w:rsidRPr="00535065">
        <w:t xml:space="preserve">A formal Medical Device Classification Assessment Form has been completed and included in Appendix </w:t>
      </w:r>
      <w:r w:rsidR="00CB7DB1">
        <w:t>E</w:t>
      </w:r>
      <w:r w:rsidRPr="00535065">
        <w:t xml:space="preserve"> of this report.</w:t>
      </w:r>
      <w:r w:rsidRPr="00535065">
        <w:br/>
        <w:t>The form details:</w:t>
      </w:r>
    </w:p>
    <w:p w14:paraId="22BBF5D8" w14:textId="77777777" w:rsidR="009E3017" w:rsidRPr="00E12D90" w:rsidRDefault="009E3017" w:rsidP="00143DD5">
      <w:pPr>
        <w:numPr>
          <w:ilvl w:val="0"/>
          <w:numId w:val="37"/>
        </w:numPr>
        <w:spacing w:after="160" w:line="278" w:lineRule="auto"/>
        <w:textboxTightWrap w:val="none"/>
      </w:pPr>
      <w:r w:rsidRPr="00E12D90">
        <w:t>The assessment criteria and rationale;</w:t>
      </w:r>
    </w:p>
    <w:p w14:paraId="1FD333FD" w14:textId="77777777" w:rsidR="009E3017" w:rsidRPr="00535065" w:rsidRDefault="009E3017" w:rsidP="00143DD5">
      <w:pPr>
        <w:numPr>
          <w:ilvl w:val="0"/>
          <w:numId w:val="37"/>
        </w:numPr>
        <w:spacing w:after="160" w:line="278" w:lineRule="auto"/>
        <w:textboxTightWrap w:val="none"/>
      </w:pPr>
      <w:r w:rsidRPr="00E12D90">
        <w:t xml:space="preserve">The </w:t>
      </w:r>
      <w:r w:rsidRPr="00535065">
        <w:t>names and roles of the assessors, including the Clinical Safety Officer (CSO) and Technical Authority;</w:t>
      </w:r>
    </w:p>
    <w:p w14:paraId="047E468F" w14:textId="77777777" w:rsidR="009E3017" w:rsidRPr="00535065" w:rsidRDefault="009E3017" w:rsidP="00143DD5">
      <w:pPr>
        <w:numPr>
          <w:ilvl w:val="0"/>
          <w:numId w:val="37"/>
        </w:numPr>
        <w:spacing w:after="160" w:line="278" w:lineRule="auto"/>
        <w:textboxTightWrap w:val="none"/>
      </w:pPr>
      <w:r w:rsidRPr="00535065">
        <w:lastRenderedPageBreak/>
        <w:t>The date of assessment;</w:t>
      </w:r>
    </w:p>
    <w:p w14:paraId="7B6580A9" w14:textId="77777777" w:rsidR="009E3017" w:rsidRPr="00535065" w:rsidRDefault="009E3017" w:rsidP="00143DD5">
      <w:pPr>
        <w:numPr>
          <w:ilvl w:val="0"/>
          <w:numId w:val="37"/>
        </w:numPr>
        <w:spacing w:after="160" w:line="278" w:lineRule="auto"/>
        <w:textboxTightWrap w:val="none"/>
      </w:pPr>
      <w:r w:rsidRPr="00535065">
        <w:t>The determination outcome: “NIR is not a medical device”; and</w:t>
      </w:r>
    </w:p>
    <w:p w14:paraId="0005D3C0" w14:textId="77777777" w:rsidR="009E3017" w:rsidRPr="00535065" w:rsidRDefault="009E3017" w:rsidP="00143DD5">
      <w:pPr>
        <w:numPr>
          <w:ilvl w:val="0"/>
          <w:numId w:val="37"/>
        </w:numPr>
        <w:spacing w:after="160" w:line="278" w:lineRule="auto"/>
        <w:textboxTightWrap w:val="none"/>
      </w:pPr>
      <w:r w:rsidRPr="00535065">
        <w:t>The agreed assurance route under DCB 0129.</w:t>
      </w:r>
    </w:p>
    <w:p w14:paraId="7A992611" w14:textId="77777777" w:rsidR="009E3017" w:rsidRPr="00535065" w:rsidRDefault="009E3017" w:rsidP="009E3017">
      <w:r w:rsidRPr="00535065">
        <w:t>This assessment will be reviewed and updated if any future changes to the NIR introduce diagnostic, interpretive, or decision-support functionality that could alter its classification status.</w:t>
      </w:r>
    </w:p>
    <w:p w14:paraId="52B84F8A" w14:textId="318AF8E4" w:rsidR="009424AE" w:rsidRPr="00BD7FB4" w:rsidRDefault="009424AE" w:rsidP="009424AE">
      <w:pPr>
        <w:spacing w:line="276" w:lineRule="auto"/>
        <w:jc w:val="both"/>
        <w:rPr>
          <w:color w:val="auto"/>
        </w:rPr>
      </w:pPr>
    </w:p>
    <w:p w14:paraId="7DC1C09A" w14:textId="26623243" w:rsidR="00DB7FE3" w:rsidRDefault="00DB7FE3" w:rsidP="00105D26">
      <w:pPr>
        <w:pStyle w:val="Heading2"/>
      </w:pPr>
      <w:bookmarkStart w:id="30" w:name="_Toc214870524"/>
      <w:r w:rsidRPr="00BD7FB4">
        <w:t xml:space="preserve">Clinical Risk Management </w:t>
      </w:r>
      <w:r w:rsidR="00580564">
        <w:t>Process</w:t>
      </w:r>
      <w:bookmarkEnd w:id="30"/>
    </w:p>
    <w:p w14:paraId="59883986" w14:textId="084D2464" w:rsidR="00210EAB" w:rsidRPr="005E0D12" w:rsidRDefault="00210EAB" w:rsidP="00B3622E">
      <w:pPr>
        <w:pStyle w:val="Heading3"/>
      </w:pPr>
      <w:r w:rsidRPr="005E0D12">
        <w:t>Clinical Risk Management Process</w:t>
      </w:r>
      <w:r w:rsidR="009E0D9D">
        <w:t xml:space="preserve"> - </w:t>
      </w:r>
      <w:r w:rsidRPr="005E0D12">
        <w:t>Overview</w:t>
      </w:r>
    </w:p>
    <w:p w14:paraId="1164D7D2" w14:textId="77777777" w:rsidR="00A8342B" w:rsidRDefault="00210EAB" w:rsidP="00F15E58">
      <w:r w:rsidRPr="005E0D12">
        <w:t xml:space="preserve">The </w:t>
      </w:r>
      <w:r w:rsidRPr="00A8342B">
        <w:t>clinical risk management process for the National Image Registry (NIR) is defined and implemented in accordance with the DCB 0129 Clinical Risk Management: its Application in the Manufacture of Health IT Systems standard.</w:t>
      </w:r>
    </w:p>
    <w:p w14:paraId="5A13A70A" w14:textId="64B8427E" w:rsidR="00210EAB" w:rsidRPr="00A8342B" w:rsidRDefault="00210EAB" w:rsidP="00F15E58">
      <w:r w:rsidRPr="00A8342B">
        <w:t>This process ensures that clinical risks associated with the design, development, and implementation of the NIR are identified, evaluated, controlled, and reviewed systematically throughout the product lifecycle.</w:t>
      </w:r>
    </w:p>
    <w:p w14:paraId="3EFC10E9" w14:textId="0D20DE9A" w:rsidR="00210EAB" w:rsidRPr="00A8342B" w:rsidRDefault="00210EAB" w:rsidP="00F15E58">
      <w:r w:rsidRPr="00A8342B">
        <w:t xml:space="preserve">The process draws directly from the NIR </w:t>
      </w:r>
      <w:r w:rsidRPr="00135778">
        <w:rPr>
          <w:color w:val="auto"/>
        </w:rPr>
        <w:t xml:space="preserve">Clinical Risk Management Plan </w:t>
      </w:r>
      <w:r w:rsidRPr="00B3622E">
        <w:rPr>
          <w:color w:val="auto"/>
        </w:rPr>
        <w:t>(CRMP) v</w:t>
      </w:r>
      <w:r w:rsidR="00D92C32" w:rsidRPr="00B3622E">
        <w:rPr>
          <w:color w:val="auto"/>
        </w:rPr>
        <w:t>5</w:t>
      </w:r>
      <w:r w:rsidRPr="00B3622E">
        <w:rPr>
          <w:color w:val="auto"/>
        </w:rPr>
        <w:t>.0,</w:t>
      </w:r>
      <w:r w:rsidRPr="00135778">
        <w:rPr>
          <w:color w:val="auto"/>
        </w:rPr>
        <w:t xml:space="preserve"> approved by NHS England’s Clinical Safety Group, and applies only to </w:t>
      </w:r>
      <w:r w:rsidR="00633FC6" w:rsidRPr="00135778">
        <w:rPr>
          <w:color w:val="auto"/>
        </w:rPr>
        <w:t xml:space="preserve">the </w:t>
      </w:r>
      <w:r w:rsidR="00633FC6" w:rsidRPr="00135778">
        <w:rPr>
          <w:rFonts w:asciiTheme="minorHAnsi" w:hAnsiTheme="minorHAnsi" w:cstheme="minorBidi"/>
          <w:color w:val="auto"/>
        </w:rPr>
        <w:t xml:space="preserve">Discovery &amp; Report Retrieval and Image retrieval for the XCA endpoint </w:t>
      </w:r>
      <w:r w:rsidRPr="00135778">
        <w:rPr>
          <w:color w:val="auto"/>
        </w:rPr>
        <w:t>of the NIR programme.</w:t>
      </w:r>
      <w:r w:rsidRPr="00135778">
        <w:rPr>
          <w:color w:val="auto"/>
        </w:rPr>
        <w:br/>
        <w:t xml:space="preserve">These </w:t>
      </w:r>
      <w:r w:rsidR="00633FC6" w:rsidRPr="00135778">
        <w:rPr>
          <w:color w:val="auto"/>
        </w:rPr>
        <w:t xml:space="preserve">iterations </w:t>
      </w:r>
      <w:r w:rsidRPr="00135778">
        <w:rPr>
          <w:color w:val="auto"/>
        </w:rPr>
        <w:t xml:space="preserve">include the design and deployment of the federated </w:t>
      </w:r>
      <w:r w:rsidRPr="00A8342B">
        <w:t xml:space="preserve">image discovery architecture and national image retrieval gateway but exclude later </w:t>
      </w:r>
      <w:r w:rsidR="00633FC6">
        <w:t>iterations</w:t>
      </w:r>
      <w:r w:rsidRPr="00A8342B">
        <w:t xml:space="preserve"> involving MHDS metadata model</w:t>
      </w:r>
      <w:r w:rsidR="00633FC6">
        <w:t>s</w:t>
      </w:r>
      <w:r w:rsidRPr="00A8342B">
        <w:t>.</w:t>
      </w:r>
    </w:p>
    <w:p w14:paraId="0DF10EBB" w14:textId="50DCC1C0" w:rsidR="00210EAB" w:rsidRPr="005E0D12" w:rsidRDefault="00210EAB" w:rsidP="00B3622E">
      <w:pPr>
        <w:pStyle w:val="Heading3"/>
      </w:pPr>
      <w:r w:rsidRPr="005E0D12">
        <w:t>Clinical Risk Management Framework</w:t>
      </w:r>
    </w:p>
    <w:p w14:paraId="5DF407E5" w14:textId="77777777" w:rsidR="00A8342B" w:rsidRDefault="00210EAB" w:rsidP="00F15E58">
      <w:r w:rsidRPr="00A8342B">
        <w:t>The NIR Clinical Risk Management Process is embedded within NHS England’s overarching Clinical</w:t>
      </w:r>
      <w:r w:rsidR="00A8342B">
        <w:t xml:space="preserve"> </w:t>
      </w:r>
      <w:r w:rsidRPr="00A8342B">
        <w:t>Safety Management System (CSMS).</w:t>
      </w:r>
    </w:p>
    <w:p w14:paraId="73CEDB9F" w14:textId="75DFBF2B" w:rsidR="00210EAB" w:rsidRPr="00A8342B" w:rsidRDefault="00210EAB" w:rsidP="00F15E58">
      <w:r w:rsidRPr="00A8342B">
        <w:t>It follows the key steps set out in DCB 0129, underpinned by ISO 14971 principles for software safety risk management, and includes structured oversight through the Clinical Safety Officer (CSO) and Clinical Safety Working Group (CSWG).</w:t>
      </w:r>
    </w:p>
    <w:p w14:paraId="61CC4BBC" w14:textId="77777777" w:rsidR="00210EAB" w:rsidRPr="005E0D12" w:rsidRDefault="00210EAB" w:rsidP="00F15E58">
      <w:r w:rsidRPr="005E0D12">
        <w:t>The key objectives are to:</w:t>
      </w:r>
    </w:p>
    <w:p w14:paraId="75825791" w14:textId="77777777" w:rsidR="00210EAB" w:rsidRPr="00B3622E" w:rsidRDefault="00210EAB" w:rsidP="00143DD5">
      <w:pPr>
        <w:pStyle w:val="ListParagraph"/>
        <w:numPr>
          <w:ilvl w:val="0"/>
          <w:numId w:val="38"/>
        </w:numPr>
        <w:spacing w:line="276" w:lineRule="auto"/>
        <w:jc w:val="both"/>
        <w:rPr>
          <w:rFonts w:asciiTheme="minorHAnsi" w:hAnsiTheme="minorHAnsi" w:cstheme="minorHAnsi"/>
        </w:rPr>
      </w:pPr>
      <w:r w:rsidRPr="00B3622E">
        <w:rPr>
          <w:rFonts w:asciiTheme="minorHAnsi" w:hAnsiTheme="minorHAnsi" w:cstheme="minorHAnsi"/>
        </w:rPr>
        <w:t>Identify potential hazards that may result in harm to patients or users;</w:t>
      </w:r>
    </w:p>
    <w:p w14:paraId="24664193" w14:textId="77777777" w:rsidR="00210EAB" w:rsidRPr="00B3622E" w:rsidRDefault="00210EAB" w:rsidP="00143DD5">
      <w:pPr>
        <w:pStyle w:val="ListParagraph"/>
        <w:numPr>
          <w:ilvl w:val="0"/>
          <w:numId w:val="38"/>
        </w:numPr>
        <w:spacing w:line="276" w:lineRule="auto"/>
        <w:jc w:val="both"/>
        <w:rPr>
          <w:rFonts w:asciiTheme="minorHAnsi" w:hAnsiTheme="minorHAnsi" w:cstheme="minorHAnsi"/>
        </w:rPr>
      </w:pPr>
      <w:r w:rsidRPr="00B3622E">
        <w:rPr>
          <w:rFonts w:asciiTheme="minorHAnsi" w:hAnsiTheme="minorHAnsi" w:cstheme="minorHAnsi"/>
        </w:rPr>
        <w:t>Assess the likelihood and severity of potential harms;</w:t>
      </w:r>
    </w:p>
    <w:p w14:paraId="01EE6D76" w14:textId="77777777" w:rsidR="00210EAB" w:rsidRPr="00B3622E" w:rsidRDefault="00210EAB" w:rsidP="00143DD5">
      <w:pPr>
        <w:pStyle w:val="ListParagraph"/>
        <w:numPr>
          <w:ilvl w:val="0"/>
          <w:numId w:val="38"/>
        </w:numPr>
        <w:spacing w:line="276" w:lineRule="auto"/>
        <w:jc w:val="both"/>
        <w:rPr>
          <w:rFonts w:asciiTheme="minorHAnsi" w:hAnsiTheme="minorHAnsi" w:cstheme="minorHAnsi"/>
        </w:rPr>
      </w:pPr>
      <w:r w:rsidRPr="00B3622E">
        <w:rPr>
          <w:rFonts w:asciiTheme="minorHAnsi" w:hAnsiTheme="minorHAnsi" w:cstheme="minorHAnsi"/>
        </w:rPr>
        <w:t>Implement and verify appropriate mitigation measures;</w:t>
      </w:r>
    </w:p>
    <w:p w14:paraId="32E9FF2A" w14:textId="77777777" w:rsidR="00210EAB" w:rsidRPr="00B3622E" w:rsidRDefault="00210EAB" w:rsidP="00143DD5">
      <w:pPr>
        <w:pStyle w:val="ListParagraph"/>
        <w:numPr>
          <w:ilvl w:val="0"/>
          <w:numId w:val="38"/>
        </w:numPr>
        <w:spacing w:line="276" w:lineRule="auto"/>
        <w:jc w:val="both"/>
        <w:rPr>
          <w:rFonts w:asciiTheme="minorHAnsi" w:hAnsiTheme="minorHAnsi" w:cstheme="minorHAnsi"/>
        </w:rPr>
      </w:pPr>
      <w:r w:rsidRPr="00B3622E">
        <w:rPr>
          <w:rFonts w:asciiTheme="minorHAnsi" w:hAnsiTheme="minorHAnsi" w:cstheme="minorHAnsi"/>
        </w:rPr>
        <w:t>Record and review all findings within the NIR Hazard Log and Safety Case documentation; and</w:t>
      </w:r>
    </w:p>
    <w:p w14:paraId="55EECA0C" w14:textId="77777777" w:rsidR="00210EAB" w:rsidRPr="00B3622E" w:rsidRDefault="00210EAB" w:rsidP="00143DD5">
      <w:pPr>
        <w:pStyle w:val="ListParagraph"/>
        <w:numPr>
          <w:ilvl w:val="0"/>
          <w:numId w:val="38"/>
        </w:numPr>
        <w:spacing w:line="276" w:lineRule="auto"/>
        <w:jc w:val="both"/>
        <w:rPr>
          <w:rFonts w:asciiTheme="minorHAnsi" w:hAnsiTheme="minorHAnsi" w:cstheme="minorHAnsi"/>
        </w:rPr>
      </w:pPr>
      <w:r w:rsidRPr="00B3622E">
        <w:rPr>
          <w:rFonts w:asciiTheme="minorHAnsi" w:hAnsiTheme="minorHAnsi" w:cstheme="minorHAnsi"/>
        </w:rPr>
        <w:t>Provide clear evidence that residual risks are as low as reasonably practicable (ALARP).</w:t>
      </w:r>
    </w:p>
    <w:p w14:paraId="164A56F6" w14:textId="23512036" w:rsidR="00210EAB" w:rsidRPr="005E0D12" w:rsidRDefault="00210EAB" w:rsidP="00B3622E">
      <w:pPr>
        <w:pStyle w:val="Heading3"/>
      </w:pPr>
      <w:r w:rsidRPr="005E0D12">
        <w:t>Risk Management Stages</w:t>
      </w:r>
    </w:p>
    <w:p w14:paraId="3CF6CDCB" w14:textId="77777777" w:rsidR="00210EAB" w:rsidRPr="00B3622E" w:rsidRDefault="00210EAB" w:rsidP="00F15E58">
      <w:r w:rsidRPr="00B3622E">
        <w:t>The NIR Clinical Risk Management process consists of six structured stages, consistent with the CRMP:</w:t>
      </w:r>
    </w:p>
    <w:p w14:paraId="5D404E06" w14:textId="060C6277"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lastRenderedPageBreak/>
        <w:t>Preliminary Hazard Assessment</w:t>
      </w:r>
      <w:r w:rsidR="009E0D9D" w:rsidRPr="00B3622E">
        <w:rPr>
          <w:rFonts w:asciiTheme="minorHAnsi" w:hAnsiTheme="minorHAnsi" w:cstheme="minorHAnsi"/>
          <w:b/>
          <w:bCs/>
        </w:rPr>
        <w:t xml:space="preserve">: </w:t>
      </w:r>
      <w:r w:rsidRPr="00B3622E">
        <w:rPr>
          <w:rFonts w:asciiTheme="minorHAnsi" w:hAnsiTheme="minorHAnsi" w:cstheme="minorHAnsi"/>
        </w:rPr>
        <w:t>Desktop analysis of architecture, data flows, and known failure modes</w:t>
      </w:r>
      <w:r w:rsidR="0095186C" w:rsidRPr="00B3622E">
        <w:rPr>
          <w:rFonts w:asciiTheme="minorHAnsi" w:hAnsiTheme="minorHAnsi" w:cstheme="minorHAnsi"/>
        </w:rPr>
        <w:t xml:space="preserve"> and r</w:t>
      </w:r>
      <w:r w:rsidRPr="00B3622E">
        <w:rPr>
          <w:rFonts w:asciiTheme="minorHAnsi" w:hAnsiTheme="minorHAnsi" w:cstheme="minorHAnsi"/>
        </w:rPr>
        <w:t>eview of hazards identified in comparable national imaging systems.</w:t>
      </w:r>
      <w:r w:rsidR="0095186C" w:rsidRPr="00B3622E">
        <w:rPr>
          <w:rFonts w:asciiTheme="minorHAnsi" w:hAnsiTheme="minorHAnsi" w:cstheme="minorHAnsi"/>
        </w:rPr>
        <w:t xml:space="preserve"> This resulted in the c</w:t>
      </w:r>
      <w:r w:rsidRPr="00B3622E">
        <w:rPr>
          <w:rFonts w:asciiTheme="minorHAnsi" w:hAnsiTheme="minorHAnsi" w:cstheme="minorHAnsi"/>
        </w:rPr>
        <w:t>reation of a draft Hazard Log and baseline risk profile.</w:t>
      </w:r>
    </w:p>
    <w:p w14:paraId="4D0E37D6" w14:textId="569690C6"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Hazard Identification Workshops</w:t>
      </w:r>
      <w:r w:rsidR="00C56FFC" w:rsidRPr="00B3622E">
        <w:rPr>
          <w:rFonts w:asciiTheme="minorHAnsi" w:hAnsiTheme="minorHAnsi" w:cstheme="minorHAnsi"/>
          <w:b/>
          <w:bCs/>
        </w:rPr>
        <w:t xml:space="preserve">: </w:t>
      </w:r>
      <w:r w:rsidRPr="00B3622E">
        <w:rPr>
          <w:rFonts w:asciiTheme="minorHAnsi" w:hAnsiTheme="minorHAnsi" w:cstheme="minorHAnsi"/>
        </w:rPr>
        <w:t>Facilitated using the Structured What-If Technique (SWIFT).</w:t>
      </w:r>
      <w:r w:rsidR="00D7792F" w:rsidRPr="00B3622E">
        <w:rPr>
          <w:rFonts w:asciiTheme="minorHAnsi" w:hAnsiTheme="minorHAnsi" w:cstheme="minorHAnsi"/>
        </w:rPr>
        <w:t xml:space="preserve"> </w:t>
      </w:r>
      <w:r w:rsidRPr="00B3622E">
        <w:rPr>
          <w:rFonts w:asciiTheme="minorHAnsi" w:hAnsiTheme="minorHAnsi" w:cstheme="minorHAnsi"/>
        </w:rPr>
        <w:t>Conducted with multidisciplinary participants including clinicians, radiology experts, PACS administrators, product engineers, and CSOs.</w:t>
      </w:r>
      <w:r w:rsidR="00D7792F" w:rsidRPr="00B3622E">
        <w:rPr>
          <w:rFonts w:asciiTheme="minorHAnsi" w:hAnsiTheme="minorHAnsi" w:cstheme="minorHAnsi"/>
        </w:rPr>
        <w:t xml:space="preserve"> </w:t>
      </w:r>
      <w:r w:rsidRPr="00B3622E">
        <w:rPr>
          <w:rFonts w:asciiTheme="minorHAnsi" w:hAnsiTheme="minorHAnsi" w:cstheme="minorHAnsi"/>
        </w:rPr>
        <w:t xml:space="preserve">Hazards are scored for </w:t>
      </w:r>
      <w:r w:rsidRPr="00B3622E">
        <w:rPr>
          <w:rFonts w:asciiTheme="minorHAnsi" w:hAnsiTheme="minorHAnsi" w:cstheme="minorHAnsi"/>
          <w:i/>
          <w:iCs/>
        </w:rPr>
        <w:t>severity</w:t>
      </w:r>
      <w:r w:rsidRPr="00B3622E">
        <w:rPr>
          <w:rFonts w:asciiTheme="minorHAnsi" w:hAnsiTheme="minorHAnsi" w:cstheme="minorHAnsi"/>
        </w:rPr>
        <w:t xml:space="preserve"> and </w:t>
      </w:r>
      <w:r w:rsidRPr="00B3622E">
        <w:rPr>
          <w:rFonts w:asciiTheme="minorHAnsi" w:hAnsiTheme="minorHAnsi" w:cstheme="minorHAnsi"/>
          <w:i/>
          <w:iCs/>
        </w:rPr>
        <w:t>likelihood</w:t>
      </w:r>
      <w:r w:rsidRPr="00B3622E">
        <w:rPr>
          <w:rFonts w:asciiTheme="minorHAnsi" w:hAnsiTheme="minorHAnsi" w:cstheme="minorHAnsi"/>
        </w:rPr>
        <w:t xml:space="preserve"> using the NHS England DCB 0129 risk matrix.</w:t>
      </w:r>
    </w:p>
    <w:p w14:paraId="71B9317C" w14:textId="6E8E2B63"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Risk Evaluation and Control</w:t>
      </w:r>
      <w:r w:rsidR="00D7792F" w:rsidRPr="00B3622E">
        <w:rPr>
          <w:rFonts w:asciiTheme="minorHAnsi" w:hAnsiTheme="minorHAnsi" w:cstheme="minorHAnsi"/>
          <w:b/>
          <w:bCs/>
        </w:rPr>
        <w:t xml:space="preserve">: </w:t>
      </w:r>
      <w:r w:rsidRPr="00B3622E">
        <w:rPr>
          <w:rFonts w:asciiTheme="minorHAnsi" w:hAnsiTheme="minorHAnsi" w:cstheme="minorHAnsi"/>
        </w:rPr>
        <w:t>Each hazard is analysed to determine clinical consequence and probability.</w:t>
      </w:r>
      <w:r w:rsidR="00D7792F" w:rsidRPr="00B3622E">
        <w:rPr>
          <w:rFonts w:asciiTheme="minorHAnsi" w:hAnsiTheme="minorHAnsi" w:cstheme="minorHAnsi"/>
        </w:rPr>
        <w:t xml:space="preserve"> </w:t>
      </w:r>
      <w:r w:rsidRPr="00B3622E">
        <w:rPr>
          <w:rFonts w:asciiTheme="minorHAnsi" w:hAnsiTheme="minorHAnsi" w:cstheme="minorHAnsi"/>
        </w:rPr>
        <w:t xml:space="preserve">Controls are designed with preference for </w:t>
      </w:r>
      <w:r w:rsidRPr="00B3622E">
        <w:rPr>
          <w:rFonts w:asciiTheme="minorHAnsi" w:hAnsiTheme="minorHAnsi" w:cstheme="minorHAnsi"/>
          <w:i/>
          <w:iCs/>
        </w:rPr>
        <w:t>inherent safety by design</w:t>
      </w:r>
      <w:r w:rsidRPr="00B3622E">
        <w:rPr>
          <w:rFonts w:asciiTheme="minorHAnsi" w:hAnsiTheme="minorHAnsi" w:cstheme="minorHAnsi"/>
        </w:rPr>
        <w:t xml:space="preserve"> and validated through test evidence.</w:t>
      </w:r>
      <w:r w:rsidR="00D7792F" w:rsidRPr="00B3622E">
        <w:rPr>
          <w:rFonts w:asciiTheme="minorHAnsi" w:hAnsiTheme="minorHAnsi" w:cstheme="minorHAnsi"/>
        </w:rPr>
        <w:t xml:space="preserve"> </w:t>
      </w:r>
      <w:r w:rsidRPr="00B3622E">
        <w:rPr>
          <w:rFonts w:asciiTheme="minorHAnsi" w:hAnsiTheme="minorHAnsi" w:cstheme="minorHAnsi"/>
        </w:rPr>
        <w:t>Residual risk levels are determined and recorded.</w:t>
      </w:r>
    </w:p>
    <w:p w14:paraId="345E06BA" w14:textId="77777777" w:rsidR="00C36837" w:rsidRPr="00B3622E" w:rsidRDefault="00210EAB" w:rsidP="00C36837">
      <w:pPr>
        <w:spacing w:line="276" w:lineRule="auto"/>
        <w:ind w:left="360"/>
        <w:jc w:val="both"/>
        <w:rPr>
          <w:rFonts w:asciiTheme="minorHAnsi" w:hAnsiTheme="minorHAnsi" w:cstheme="minorHAnsi"/>
        </w:rPr>
      </w:pPr>
      <w:r w:rsidRPr="00B3622E">
        <w:rPr>
          <w:rFonts w:asciiTheme="minorHAnsi" w:hAnsiTheme="minorHAnsi" w:cstheme="minorHAnsi"/>
          <w:b/>
          <w:bCs/>
        </w:rPr>
        <w:t>Safety Documentation and Traceability</w:t>
      </w:r>
      <w:r w:rsidR="00D7792F" w:rsidRPr="00B3622E">
        <w:rPr>
          <w:rFonts w:asciiTheme="minorHAnsi" w:hAnsiTheme="minorHAnsi" w:cstheme="minorHAnsi"/>
          <w:b/>
          <w:bCs/>
        </w:rPr>
        <w:t xml:space="preserve">: </w:t>
      </w:r>
      <w:r w:rsidRPr="00B3622E">
        <w:rPr>
          <w:rFonts w:asciiTheme="minorHAnsi" w:hAnsiTheme="minorHAnsi" w:cstheme="minorHAnsi"/>
        </w:rPr>
        <w:t>All risk management artefacts—including the Clinical Safety Case Report (CSCR), Hazard Log, and Clinical Risk Management Plan (CRMP)—are updated.</w:t>
      </w:r>
      <w:r w:rsidR="00D7792F" w:rsidRPr="00B3622E">
        <w:rPr>
          <w:rFonts w:asciiTheme="minorHAnsi" w:hAnsiTheme="minorHAnsi" w:cstheme="minorHAnsi"/>
        </w:rPr>
        <w:t xml:space="preserve"> </w:t>
      </w:r>
      <w:r w:rsidRPr="00B3622E">
        <w:rPr>
          <w:rFonts w:asciiTheme="minorHAnsi" w:hAnsiTheme="minorHAnsi" w:cstheme="minorHAnsi"/>
        </w:rPr>
        <w:t>Evidence is mapped to programme documentation, testing records, and configuration controls.</w:t>
      </w:r>
    </w:p>
    <w:p w14:paraId="185C3A25" w14:textId="2E9F53D0" w:rsidR="00210EAB" w:rsidRPr="00B3622E" w:rsidRDefault="00210EAB" w:rsidP="00C36837">
      <w:pPr>
        <w:spacing w:line="276" w:lineRule="auto"/>
        <w:ind w:left="360"/>
        <w:jc w:val="both"/>
        <w:rPr>
          <w:rFonts w:asciiTheme="minorHAnsi" w:hAnsiTheme="minorHAnsi" w:cstheme="minorHAnsi"/>
        </w:rPr>
      </w:pPr>
      <w:r w:rsidRPr="00B3622E">
        <w:rPr>
          <w:rFonts w:asciiTheme="minorHAnsi" w:hAnsiTheme="minorHAnsi" w:cstheme="minorHAnsi"/>
          <w:b/>
          <w:bCs/>
        </w:rPr>
        <w:t>Governance Review and Approval</w:t>
      </w:r>
      <w:r w:rsidR="00D7792F" w:rsidRPr="00B3622E">
        <w:rPr>
          <w:rFonts w:asciiTheme="minorHAnsi" w:hAnsiTheme="minorHAnsi" w:cstheme="minorHAnsi"/>
          <w:b/>
          <w:bCs/>
        </w:rPr>
        <w:t xml:space="preserve">: </w:t>
      </w:r>
      <w:r w:rsidRPr="00B3622E">
        <w:rPr>
          <w:rFonts w:cs="Arial"/>
        </w:rPr>
        <w:t>Formal review by the Clinical Safety Officer, supported by the Clinical Safety Engineer and Programme CSO.</w:t>
      </w:r>
      <w:r w:rsidR="00D7792F" w:rsidRPr="00B3622E">
        <w:rPr>
          <w:rFonts w:cs="Arial"/>
        </w:rPr>
        <w:t xml:space="preserve"> </w:t>
      </w:r>
      <w:r w:rsidRPr="00B3622E">
        <w:rPr>
          <w:rFonts w:cs="Arial"/>
        </w:rPr>
        <w:t>Endorsement through the NHS England Clinical Safety Review Group and Programme Board.</w:t>
      </w:r>
      <w:r w:rsidR="00170197" w:rsidRPr="00B3622E">
        <w:rPr>
          <w:rFonts w:cs="Arial"/>
        </w:rPr>
        <w:t xml:space="preserve"> </w:t>
      </w:r>
      <w:r w:rsidRPr="00B3622E">
        <w:rPr>
          <w:rFonts w:cs="Arial"/>
        </w:rPr>
        <w:t>Confirmation that residual clinical risks are ALARP.</w:t>
      </w:r>
      <w:r w:rsidR="00C36837" w:rsidRPr="00B3622E">
        <w:rPr>
          <w:rFonts w:cs="Arial"/>
        </w:rPr>
        <w:t xml:space="preserve"> </w:t>
      </w:r>
      <w:r w:rsidR="00C36837" w:rsidRPr="00B3622E">
        <w:rPr>
          <w:rFonts w:cs="Arial"/>
          <w:color w:val="auto"/>
          <w:lang w:eastAsia="en-GB"/>
        </w:rPr>
        <w:t>For deployment, residual risk acceptance is conditional upon successful completion of the NIR onboarding process, including verification of DCB0160 documentation; Submission of a formal Safety Form confirming local implementation of controls; Clinical Safety Officer (CSO) sign-off; and approval through the NIR Onboarding Governance Group</w:t>
      </w:r>
      <w:r w:rsidR="00C36837" w:rsidRPr="00B3622E">
        <w:rPr>
          <w:rFonts w:cs="Arial"/>
        </w:rPr>
        <w:t>.</w:t>
      </w:r>
      <w:r w:rsidR="00C36837" w:rsidRPr="00B3622E">
        <w:rPr>
          <w:rFonts w:cs="Arial"/>
          <w:color w:val="auto"/>
          <w:lang w:eastAsia="en-GB"/>
        </w:rPr>
        <w:t xml:space="preserve"> These controls ensure that residual risks identified within this safety case are appropriately managed at deployment.</w:t>
      </w:r>
    </w:p>
    <w:p w14:paraId="24ABC6F5" w14:textId="72EE722B"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Post-Release Monitoring and Review</w:t>
      </w:r>
      <w:r w:rsidR="00170197" w:rsidRPr="00B3622E">
        <w:rPr>
          <w:rFonts w:asciiTheme="minorHAnsi" w:hAnsiTheme="minorHAnsi" w:cstheme="minorHAnsi"/>
          <w:b/>
          <w:bCs/>
        </w:rPr>
        <w:t xml:space="preserve">: </w:t>
      </w:r>
      <w:r w:rsidRPr="00B3622E">
        <w:rPr>
          <w:rFonts w:asciiTheme="minorHAnsi" w:hAnsiTheme="minorHAnsi" w:cstheme="minorHAnsi"/>
        </w:rPr>
        <w:t>Live service monitoring for safety incidents and feedback.</w:t>
      </w:r>
      <w:r w:rsidR="00170197" w:rsidRPr="00B3622E">
        <w:rPr>
          <w:rFonts w:asciiTheme="minorHAnsi" w:hAnsiTheme="minorHAnsi" w:cstheme="minorHAnsi"/>
        </w:rPr>
        <w:t xml:space="preserve"> </w:t>
      </w:r>
      <w:r w:rsidRPr="00B3622E">
        <w:rPr>
          <w:rFonts w:asciiTheme="minorHAnsi" w:hAnsiTheme="minorHAnsi" w:cstheme="minorHAnsi"/>
        </w:rPr>
        <w:t>Hazard Log updates in response to incidents, configuration changes, or new risks.</w:t>
      </w:r>
      <w:r w:rsidR="00170197" w:rsidRPr="00B3622E">
        <w:rPr>
          <w:rFonts w:asciiTheme="minorHAnsi" w:hAnsiTheme="minorHAnsi" w:cstheme="minorHAnsi"/>
        </w:rPr>
        <w:t xml:space="preserve"> </w:t>
      </w:r>
      <w:r w:rsidRPr="00B3622E">
        <w:rPr>
          <w:rFonts w:asciiTheme="minorHAnsi" w:hAnsiTheme="minorHAnsi" w:cstheme="minorHAnsi"/>
        </w:rPr>
        <w:t>Regular review cycles (minimum every six months).</w:t>
      </w:r>
    </w:p>
    <w:p w14:paraId="2A3488BB" w14:textId="77777777" w:rsidR="00C36837" w:rsidRDefault="00C36837" w:rsidP="00B3622E">
      <w:pPr>
        <w:pStyle w:val="Heading3"/>
      </w:pPr>
    </w:p>
    <w:p w14:paraId="2A5C3B84" w14:textId="315F25A9" w:rsidR="00210EAB" w:rsidRDefault="00210EAB" w:rsidP="00B3622E">
      <w:pPr>
        <w:pStyle w:val="Heading3"/>
      </w:pPr>
      <w:r w:rsidRPr="005E0D12">
        <w:t xml:space="preserve">Scope and </w:t>
      </w:r>
      <w:r w:rsidRPr="00F15E58">
        <w:t>Exclusions</w:t>
      </w:r>
    </w:p>
    <w:p w14:paraId="2F641224" w14:textId="6E71745E" w:rsidR="00210EAB" w:rsidRPr="00B3622E" w:rsidRDefault="00BD5AF2" w:rsidP="00F15E58">
      <w:r w:rsidRPr="00B3622E">
        <w:t xml:space="preserve">This CSCR covers the NIR functionality up to the federated image retrieval and display layer. Downstream clinical reporting systems are out of scope. </w:t>
      </w:r>
      <w:r w:rsidR="00210EAB" w:rsidRPr="00B3622E">
        <w:rPr>
          <w:rFonts w:asciiTheme="minorHAnsi" w:hAnsiTheme="minorHAnsi" w:cstheme="minorHAnsi"/>
        </w:rPr>
        <w:t>The scope of this Clinical Safety Case</w:t>
      </w:r>
      <w:r w:rsidR="00135778" w:rsidRPr="00B3622E">
        <w:rPr>
          <w:rFonts w:asciiTheme="minorHAnsi" w:hAnsiTheme="minorHAnsi" w:cstheme="minorHAnsi"/>
        </w:rPr>
        <w:t xml:space="preserve">, </w:t>
      </w:r>
      <w:r w:rsidR="00210EAB" w:rsidRPr="00B3622E">
        <w:rPr>
          <w:rFonts w:asciiTheme="minorHAnsi" w:hAnsiTheme="minorHAnsi" w:cstheme="minorHAnsi"/>
        </w:rPr>
        <w:t>and therefore of the applied clinical risk management process</w:t>
      </w:r>
      <w:r w:rsidR="00135778" w:rsidRPr="00B3622E">
        <w:rPr>
          <w:rFonts w:asciiTheme="minorHAnsi" w:hAnsiTheme="minorHAnsi" w:cstheme="minorHAnsi"/>
        </w:rPr>
        <w:t xml:space="preserve">, </w:t>
      </w:r>
      <w:r w:rsidR="00210EAB" w:rsidRPr="00B3622E">
        <w:rPr>
          <w:rFonts w:asciiTheme="minorHAnsi" w:hAnsiTheme="minorHAnsi" w:cstheme="minorHAnsi"/>
        </w:rPr>
        <w:t xml:space="preserve">is </w:t>
      </w:r>
      <w:r w:rsidR="00210EAB" w:rsidRPr="00B3622E">
        <w:rPr>
          <w:rFonts w:asciiTheme="minorHAnsi" w:hAnsiTheme="minorHAnsi" w:cstheme="minorHAnsi"/>
          <w:color w:val="auto"/>
        </w:rPr>
        <w:t xml:space="preserve">limited to </w:t>
      </w:r>
      <w:r w:rsidR="00633FC6" w:rsidRPr="00B3622E">
        <w:rPr>
          <w:rFonts w:asciiTheme="minorHAnsi" w:hAnsiTheme="minorHAnsi" w:cstheme="minorBidi"/>
          <w:color w:val="auto"/>
        </w:rPr>
        <w:t xml:space="preserve">Discovery &amp; Report Retrieval and Image retrieval for the XCA endpoint </w:t>
      </w:r>
      <w:r w:rsidR="00210EAB" w:rsidRPr="00B3622E">
        <w:rPr>
          <w:rFonts w:asciiTheme="minorHAnsi" w:hAnsiTheme="minorHAnsi" w:cstheme="minorHAnsi"/>
          <w:color w:val="auto"/>
        </w:rPr>
        <w:t>of the NIR programme.</w:t>
      </w:r>
    </w:p>
    <w:p w14:paraId="2D18CB17" w14:textId="77777777" w:rsidR="00210EAB" w:rsidRPr="00B3622E" w:rsidRDefault="00210EAB" w:rsidP="00F15E58">
      <w:r w:rsidRPr="00B3622E">
        <w:t>In scope:</w:t>
      </w:r>
    </w:p>
    <w:p w14:paraId="2B340D4B" w14:textId="77777777" w:rsidR="00210EAB" w:rsidRPr="00B3622E" w:rsidRDefault="00210EAB" w:rsidP="00143DD5">
      <w:pPr>
        <w:pStyle w:val="ListParagraph"/>
        <w:numPr>
          <w:ilvl w:val="0"/>
          <w:numId w:val="41"/>
        </w:numPr>
        <w:spacing w:line="276" w:lineRule="auto"/>
        <w:jc w:val="both"/>
        <w:rPr>
          <w:rFonts w:asciiTheme="minorHAnsi" w:hAnsiTheme="minorHAnsi" w:cstheme="minorHAnsi"/>
        </w:rPr>
      </w:pPr>
      <w:r w:rsidRPr="00B3622E">
        <w:rPr>
          <w:rFonts w:asciiTheme="minorHAnsi" w:hAnsiTheme="minorHAnsi" w:cstheme="minorHAnsi"/>
        </w:rPr>
        <w:t>The federated image registry and discovery gateway;</w:t>
      </w:r>
    </w:p>
    <w:p w14:paraId="06EECB38" w14:textId="5CE4BD9D" w:rsidR="00210EAB" w:rsidRPr="00B3622E" w:rsidRDefault="00210EAB" w:rsidP="00834EE9">
      <w:pPr>
        <w:pStyle w:val="ListParagraph"/>
        <w:numPr>
          <w:ilvl w:val="0"/>
          <w:numId w:val="41"/>
        </w:numPr>
        <w:spacing w:line="276" w:lineRule="auto"/>
        <w:jc w:val="both"/>
        <w:rPr>
          <w:rFonts w:asciiTheme="minorHAnsi" w:hAnsiTheme="minorHAnsi" w:cstheme="minorHAnsi"/>
        </w:rPr>
      </w:pPr>
      <w:r w:rsidRPr="00B3622E">
        <w:rPr>
          <w:rFonts w:asciiTheme="minorHAnsi" w:hAnsiTheme="minorHAnsi" w:cstheme="minorHAnsi"/>
        </w:rPr>
        <w:t>Integration with local PACS/VNA systems using IHE XDS and XCA standards;</w:t>
      </w:r>
    </w:p>
    <w:p w14:paraId="11F6D613" w14:textId="77777777" w:rsidR="00210EAB" w:rsidRPr="00B3622E" w:rsidRDefault="00210EAB" w:rsidP="00143DD5">
      <w:pPr>
        <w:pStyle w:val="ListParagraph"/>
        <w:numPr>
          <w:ilvl w:val="0"/>
          <w:numId w:val="41"/>
        </w:numPr>
        <w:spacing w:line="276" w:lineRule="auto"/>
        <w:jc w:val="both"/>
        <w:rPr>
          <w:rFonts w:asciiTheme="minorHAnsi" w:hAnsiTheme="minorHAnsi" w:cstheme="minorHAnsi"/>
        </w:rPr>
      </w:pPr>
      <w:r w:rsidRPr="00B3622E">
        <w:rPr>
          <w:rFonts w:asciiTheme="minorHAnsi" w:hAnsiTheme="minorHAnsi" w:cstheme="minorHAnsi"/>
        </w:rPr>
        <w:t>Data location indexing and retrieval mechanisms; and</w:t>
      </w:r>
    </w:p>
    <w:p w14:paraId="457F4941" w14:textId="77777777" w:rsidR="00210EAB" w:rsidRPr="00B3622E" w:rsidRDefault="00210EAB" w:rsidP="00143DD5">
      <w:pPr>
        <w:pStyle w:val="ListParagraph"/>
        <w:numPr>
          <w:ilvl w:val="0"/>
          <w:numId w:val="41"/>
        </w:numPr>
        <w:spacing w:line="276" w:lineRule="auto"/>
        <w:jc w:val="both"/>
        <w:rPr>
          <w:rFonts w:asciiTheme="minorHAnsi" w:hAnsiTheme="minorHAnsi" w:cstheme="minorHAnsi"/>
        </w:rPr>
      </w:pPr>
      <w:r w:rsidRPr="00B3622E">
        <w:rPr>
          <w:rFonts w:asciiTheme="minorHAnsi" w:hAnsiTheme="minorHAnsi" w:cstheme="minorHAnsi"/>
        </w:rPr>
        <w:t>Security, identity, and governance components underpinning image access.</w:t>
      </w:r>
    </w:p>
    <w:p w14:paraId="3F2A1EDA" w14:textId="77777777" w:rsidR="00210EAB" w:rsidRPr="00B3622E" w:rsidRDefault="00210EAB" w:rsidP="00B82077">
      <w:r w:rsidRPr="00B3622E">
        <w:t>Excluded from this scope:</w:t>
      </w:r>
    </w:p>
    <w:p w14:paraId="4DEE5BAC" w14:textId="4E4B05C1" w:rsidR="00210EAB" w:rsidRPr="00B3622E" w:rsidRDefault="00210EAB" w:rsidP="00143DD5">
      <w:pPr>
        <w:pStyle w:val="ListParagraph"/>
        <w:numPr>
          <w:ilvl w:val="0"/>
          <w:numId w:val="42"/>
        </w:numPr>
        <w:spacing w:line="276" w:lineRule="auto"/>
        <w:jc w:val="both"/>
        <w:rPr>
          <w:rFonts w:asciiTheme="minorHAnsi" w:hAnsiTheme="minorHAnsi" w:cstheme="minorHAnsi"/>
        </w:rPr>
      </w:pPr>
      <w:r w:rsidRPr="00B3622E">
        <w:rPr>
          <w:rFonts w:asciiTheme="minorHAnsi" w:hAnsiTheme="minorHAnsi" w:cstheme="minorHAnsi"/>
        </w:rPr>
        <w:t>Future interoperability extensions involving MHDS metadata exchange;</w:t>
      </w:r>
    </w:p>
    <w:p w14:paraId="4C3FC474" w14:textId="77777777" w:rsidR="00210EAB" w:rsidRPr="00B3622E" w:rsidRDefault="00210EAB" w:rsidP="00143DD5">
      <w:pPr>
        <w:pStyle w:val="ListParagraph"/>
        <w:numPr>
          <w:ilvl w:val="0"/>
          <w:numId w:val="42"/>
        </w:numPr>
        <w:spacing w:line="276" w:lineRule="auto"/>
        <w:jc w:val="both"/>
        <w:rPr>
          <w:rFonts w:asciiTheme="minorHAnsi" w:hAnsiTheme="minorHAnsi" w:cstheme="minorHAnsi"/>
        </w:rPr>
      </w:pPr>
      <w:r w:rsidRPr="00B3622E">
        <w:rPr>
          <w:rFonts w:asciiTheme="minorHAnsi" w:hAnsiTheme="minorHAnsi" w:cstheme="minorHAnsi"/>
        </w:rPr>
        <w:t>Advanced AI-assisted workflows or image analytics;</w:t>
      </w:r>
    </w:p>
    <w:p w14:paraId="4560705B" w14:textId="77777777" w:rsidR="00210EAB" w:rsidRPr="00B3622E" w:rsidRDefault="00210EAB" w:rsidP="00143DD5">
      <w:pPr>
        <w:pStyle w:val="ListParagraph"/>
        <w:numPr>
          <w:ilvl w:val="0"/>
          <w:numId w:val="42"/>
        </w:numPr>
        <w:spacing w:line="276" w:lineRule="auto"/>
        <w:jc w:val="both"/>
        <w:rPr>
          <w:rFonts w:asciiTheme="minorHAnsi" w:hAnsiTheme="minorHAnsi" w:cstheme="minorHAnsi"/>
        </w:rPr>
      </w:pPr>
      <w:r w:rsidRPr="00B3622E">
        <w:rPr>
          <w:rFonts w:asciiTheme="minorHAnsi" w:hAnsiTheme="minorHAnsi" w:cstheme="minorHAnsi"/>
        </w:rPr>
        <w:lastRenderedPageBreak/>
        <w:t>Non-safety-related functionalities such as reporting, analytics dashboards, or non-clinical audit tools; and</w:t>
      </w:r>
    </w:p>
    <w:p w14:paraId="1FC32136" w14:textId="77777777" w:rsidR="00210EAB" w:rsidRPr="00B3622E" w:rsidRDefault="00210EAB" w:rsidP="00143DD5">
      <w:pPr>
        <w:pStyle w:val="ListParagraph"/>
        <w:numPr>
          <w:ilvl w:val="0"/>
          <w:numId w:val="42"/>
        </w:numPr>
        <w:spacing w:line="276" w:lineRule="auto"/>
        <w:jc w:val="both"/>
        <w:rPr>
          <w:rFonts w:asciiTheme="minorHAnsi" w:hAnsiTheme="minorHAnsi" w:cstheme="minorHAnsi"/>
        </w:rPr>
      </w:pPr>
      <w:r w:rsidRPr="00B3622E">
        <w:rPr>
          <w:rFonts w:asciiTheme="minorHAnsi" w:hAnsiTheme="minorHAnsi" w:cstheme="minorHAnsi"/>
        </w:rPr>
        <w:t>Deployment activities outside NHS England’s direct control (to be covered under DCB 0160 Core Documentation).</w:t>
      </w:r>
    </w:p>
    <w:p w14:paraId="1BDDD967" w14:textId="77777777" w:rsidR="00210EAB" w:rsidRPr="00B3622E" w:rsidRDefault="00210EAB" w:rsidP="00B82077">
      <w:r w:rsidRPr="00B3622E">
        <w:t>Where appropriate, recommendations and residual risks have been transferred to the DCB 0160 documentation set for use by deploying organisations.</w:t>
      </w:r>
    </w:p>
    <w:p w14:paraId="3721EC76" w14:textId="6F313B33" w:rsidR="00210EAB" w:rsidRPr="005E0D12" w:rsidRDefault="00210EAB" w:rsidP="00B3622E">
      <w:pPr>
        <w:pStyle w:val="Heading3"/>
      </w:pPr>
      <w:r w:rsidRPr="005E0D12">
        <w:t>Methodology and Tools</w:t>
      </w:r>
    </w:p>
    <w:p w14:paraId="2B7942E9" w14:textId="77777777"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Hazard Identification Method:</w:t>
      </w:r>
      <w:r w:rsidRPr="00B3622E">
        <w:rPr>
          <w:rFonts w:asciiTheme="minorHAnsi" w:hAnsiTheme="minorHAnsi" w:cstheme="minorHAnsi"/>
        </w:rPr>
        <w:t xml:space="preserve"> SWIFT (Structured What-If Technique) and design review workshops.</w:t>
      </w:r>
    </w:p>
    <w:p w14:paraId="6608A887" w14:textId="77777777"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Risk Evaluation Matrix:</w:t>
      </w:r>
      <w:r w:rsidRPr="00B3622E">
        <w:rPr>
          <w:rFonts w:asciiTheme="minorHAnsi" w:hAnsiTheme="minorHAnsi" w:cstheme="minorHAnsi"/>
        </w:rPr>
        <w:t xml:space="preserve"> NHS England DCB 0129 clinical risk matrix (five-level likelihood × five-level consequence).</w:t>
      </w:r>
    </w:p>
    <w:p w14:paraId="7536329C" w14:textId="77777777"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b/>
          <w:bCs/>
        </w:rPr>
        <w:t>Documentation Tools:</w:t>
      </w:r>
      <w:r w:rsidRPr="00B3622E">
        <w:rPr>
          <w:rFonts w:asciiTheme="minorHAnsi" w:hAnsiTheme="minorHAnsi" w:cstheme="minorHAnsi"/>
        </w:rPr>
        <w:t xml:space="preserve"> Hazard Log (Excel-based tracker), Clinical Safety Case Report (Word), and CRMP (Word/PDF).</w:t>
      </w:r>
    </w:p>
    <w:p w14:paraId="550C2DA5" w14:textId="140620E9" w:rsidR="00210EAB" w:rsidRPr="00B3622E" w:rsidRDefault="00210EAB" w:rsidP="00B3622E">
      <w:pPr>
        <w:pStyle w:val="Heading3"/>
      </w:pPr>
      <w:r w:rsidRPr="00B3622E">
        <w:t>Residual Risk Acceptance</w:t>
      </w:r>
    </w:p>
    <w:p w14:paraId="4F3FEFED" w14:textId="77777777" w:rsidR="00210EAB" w:rsidRPr="00B3622E" w:rsidRDefault="00210EAB" w:rsidP="005E0D12">
      <w:pPr>
        <w:spacing w:line="276" w:lineRule="auto"/>
        <w:ind w:left="360"/>
        <w:jc w:val="both"/>
        <w:rPr>
          <w:rFonts w:asciiTheme="minorHAnsi" w:hAnsiTheme="minorHAnsi" w:cstheme="minorHAnsi"/>
        </w:rPr>
      </w:pPr>
      <w:r w:rsidRPr="00B3622E">
        <w:rPr>
          <w:rFonts w:asciiTheme="minorHAnsi" w:hAnsiTheme="minorHAnsi" w:cstheme="minorHAnsi"/>
        </w:rPr>
        <w:t>Residual risks are evaluated against the DCB 0129 acceptability framework:</w:t>
      </w:r>
    </w:p>
    <w:p w14:paraId="62E440E5" w14:textId="77777777" w:rsidR="00210EAB" w:rsidRPr="00B3622E" w:rsidRDefault="00210EAB" w:rsidP="00143DD5">
      <w:pPr>
        <w:pStyle w:val="ListParagraph"/>
        <w:numPr>
          <w:ilvl w:val="0"/>
          <w:numId w:val="39"/>
        </w:numPr>
        <w:spacing w:line="276" w:lineRule="auto"/>
        <w:jc w:val="both"/>
        <w:rPr>
          <w:rFonts w:asciiTheme="minorHAnsi" w:hAnsiTheme="minorHAnsi" w:cstheme="minorHAnsi"/>
        </w:rPr>
      </w:pPr>
      <w:r w:rsidRPr="00B3622E">
        <w:rPr>
          <w:rFonts w:asciiTheme="minorHAnsi" w:hAnsiTheme="minorHAnsi" w:cstheme="minorHAnsi"/>
          <w:b/>
          <w:bCs/>
        </w:rPr>
        <w:t>Levels 1–2:</w:t>
      </w:r>
      <w:r w:rsidRPr="00B3622E">
        <w:rPr>
          <w:rFonts w:asciiTheme="minorHAnsi" w:hAnsiTheme="minorHAnsi" w:cstheme="minorHAnsi"/>
        </w:rPr>
        <w:t xml:space="preserve"> Acceptable or tolerable.</w:t>
      </w:r>
    </w:p>
    <w:p w14:paraId="699A7D50" w14:textId="77777777" w:rsidR="00210EAB" w:rsidRPr="00B3622E" w:rsidRDefault="00210EAB" w:rsidP="00143DD5">
      <w:pPr>
        <w:pStyle w:val="ListParagraph"/>
        <w:numPr>
          <w:ilvl w:val="0"/>
          <w:numId w:val="39"/>
        </w:numPr>
        <w:spacing w:line="276" w:lineRule="auto"/>
        <w:jc w:val="both"/>
        <w:rPr>
          <w:rFonts w:asciiTheme="minorHAnsi" w:hAnsiTheme="minorHAnsi" w:cstheme="minorHAnsi"/>
        </w:rPr>
      </w:pPr>
      <w:r w:rsidRPr="00B3622E">
        <w:rPr>
          <w:rFonts w:asciiTheme="minorHAnsi" w:hAnsiTheme="minorHAnsi" w:cstheme="minorHAnsi"/>
          <w:b/>
          <w:bCs/>
        </w:rPr>
        <w:t>Level 3:</w:t>
      </w:r>
      <w:r w:rsidRPr="00B3622E">
        <w:rPr>
          <w:rFonts w:asciiTheme="minorHAnsi" w:hAnsiTheme="minorHAnsi" w:cstheme="minorHAnsi"/>
        </w:rPr>
        <w:t xml:space="preserve"> Requires justification and monitoring.</w:t>
      </w:r>
    </w:p>
    <w:p w14:paraId="66C64405" w14:textId="77777777" w:rsidR="00210EAB" w:rsidRPr="00B3622E" w:rsidRDefault="00210EAB" w:rsidP="00143DD5">
      <w:pPr>
        <w:pStyle w:val="ListParagraph"/>
        <w:numPr>
          <w:ilvl w:val="0"/>
          <w:numId w:val="39"/>
        </w:numPr>
        <w:spacing w:line="276" w:lineRule="auto"/>
        <w:jc w:val="both"/>
        <w:rPr>
          <w:rFonts w:asciiTheme="minorHAnsi" w:hAnsiTheme="minorHAnsi" w:cstheme="minorHAnsi"/>
        </w:rPr>
      </w:pPr>
      <w:r w:rsidRPr="00B3622E">
        <w:rPr>
          <w:rFonts w:asciiTheme="minorHAnsi" w:hAnsiTheme="minorHAnsi" w:cstheme="minorHAnsi"/>
          <w:b/>
          <w:bCs/>
        </w:rPr>
        <w:t>Levels 4–5:</w:t>
      </w:r>
      <w:r w:rsidRPr="00B3622E">
        <w:rPr>
          <w:rFonts w:asciiTheme="minorHAnsi" w:hAnsiTheme="minorHAnsi" w:cstheme="minorHAnsi"/>
        </w:rPr>
        <w:t xml:space="preserve"> Unacceptable until mitigated or re-engineered.</w:t>
      </w:r>
    </w:p>
    <w:p w14:paraId="5F2C6B7A" w14:textId="6B9631D2" w:rsidR="00210EAB" w:rsidRPr="00B3622E" w:rsidRDefault="00210EAB" w:rsidP="00B82077">
      <w:r w:rsidRPr="00B3622E">
        <w:t xml:space="preserve">No component </w:t>
      </w:r>
      <w:r w:rsidRPr="00B3622E">
        <w:rPr>
          <w:color w:val="auto"/>
        </w:rPr>
        <w:t xml:space="preserve">of NIR </w:t>
      </w:r>
      <w:r w:rsidR="00834EE9" w:rsidRPr="00B3622E">
        <w:rPr>
          <w:rFonts w:asciiTheme="minorHAnsi" w:hAnsiTheme="minorHAnsi" w:cstheme="minorBidi"/>
          <w:color w:val="auto"/>
        </w:rPr>
        <w:t xml:space="preserve">Discovery &amp; Report Retrieval and Image retrieval for the XCA endpoint </w:t>
      </w:r>
      <w:r w:rsidRPr="00B3622E">
        <w:rPr>
          <w:color w:val="auto"/>
        </w:rPr>
        <w:t xml:space="preserve">has been approved for deployment </w:t>
      </w:r>
      <w:r w:rsidRPr="00B3622E">
        <w:t>until all identified hazards have been reviewed, mitigated, and signed off by the CSO and Programme Board.</w:t>
      </w:r>
    </w:p>
    <w:p w14:paraId="6EC32E43" w14:textId="26323A66" w:rsidR="00210EAB" w:rsidRPr="00B3622E" w:rsidRDefault="00210EAB" w:rsidP="00B3622E">
      <w:pPr>
        <w:pStyle w:val="Heading3"/>
      </w:pPr>
      <w:r w:rsidRPr="00B3622E">
        <w:t>Review and Continuous Improvement</w:t>
      </w:r>
    </w:p>
    <w:p w14:paraId="50D2B095" w14:textId="4B61EA55" w:rsidR="00210EAB" w:rsidRPr="00B3622E" w:rsidRDefault="00210EAB" w:rsidP="00B82077">
      <w:r w:rsidRPr="00B3622E">
        <w:t xml:space="preserve">The NIR Clinical Risk Management Process is iterative and will continue to evolve as further programme </w:t>
      </w:r>
      <w:r w:rsidR="0088086A" w:rsidRPr="00B3622E">
        <w:t>iterations</w:t>
      </w:r>
      <w:r w:rsidRPr="00B3622E">
        <w:t xml:space="preserve"> are implemented.</w:t>
      </w:r>
      <w:r w:rsidRPr="00B3622E">
        <w:br/>
        <w:t xml:space="preserve">A post-pilot review (DEL02) and ongoing deployment support (DEL03) will ensure that lessons learned from </w:t>
      </w:r>
      <w:r w:rsidR="00CF4E65" w:rsidRPr="00B3622E">
        <w:t xml:space="preserve"> Private Beta </w:t>
      </w:r>
      <w:r w:rsidRPr="00B3622E">
        <w:t>networks</w:t>
      </w:r>
      <w:r w:rsidR="00834EE9" w:rsidRPr="00B3622E">
        <w:t xml:space="preserve">, </w:t>
      </w:r>
      <w:r w:rsidRPr="00B3622E">
        <w:t xml:space="preserve">such as Dorset, SWASH, NW London, and </w:t>
      </w:r>
      <w:r w:rsidR="00834EE9" w:rsidRPr="00B3622E">
        <w:t xml:space="preserve">Practice Plus, </w:t>
      </w:r>
      <w:r w:rsidRPr="00B3622E">
        <w:t>inform continuous improvement of the safety case and associated controls.</w:t>
      </w:r>
    </w:p>
    <w:p w14:paraId="48177265" w14:textId="04718BB8" w:rsidR="00354549" w:rsidRPr="00B3622E" w:rsidRDefault="00170197" w:rsidP="00B82077">
      <w:r w:rsidRPr="00B3622E">
        <w:t xml:space="preserve">Clinical Safety Management Plan </w:t>
      </w:r>
    </w:p>
    <w:p w14:paraId="33A46326" w14:textId="69F394D0" w:rsidR="002B5B7E" w:rsidRPr="00B3622E" w:rsidRDefault="005E53C6" w:rsidP="00B82077">
      <w:pPr>
        <w:rPr>
          <w:rFonts w:asciiTheme="minorHAnsi" w:hAnsiTheme="minorHAnsi" w:cstheme="minorHAnsi"/>
          <w:color w:val="auto"/>
        </w:rPr>
      </w:pPr>
      <w:r w:rsidRPr="00B3622E">
        <w:rPr>
          <w:rFonts w:asciiTheme="minorHAnsi" w:hAnsiTheme="minorHAnsi" w:cstheme="minorHAnsi"/>
          <w:color w:val="auto"/>
        </w:rPr>
        <w:t>NIR</w:t>
      </w:r>
      <w:r w:rsidR="00952C06" w:rsidRPr="00B3622E">
        <w:rPr>
          <w:rFonts w:asciiTheme="minorHAnsi" w:hAnsiTheme="minorHAnsi" w:cstheme="minorHAnsi"/>
          <w:color w:val="auto"/>
        </w:rPr>
        <w:t xml:space="preserve"> </w:t>
      </w:r>
      <w:r w:rsidR="00EA4A43" w:rsidRPr="00B3622E">
        <w:rPr>
          <w:rFonts w:asciiTheme="minorHAnsi" w:hAnsiTheme="minorHAnsi" w:cstheme="minorHAnsi"/>
          <w:color w:val="auto"/>
        </w:rPr>
        <w:t xml:space="preserve">provide </w:t>
      </w:r>
      <w:r w:rsidR="00952C06" w:rsidRPr="00B3622E">
        <w:rPr>
          <w:rFonts w:asciiTheme="minorHAnsi" w:hAnsiTheme="minorHAnsi" w:cstheme="minorHAnsi"/>
          <w:color w:val="auto"/>
        </w:rPr>
        <w:t xml:space="preserve">a detailed Clinical </w:t>
      </w:r>
      <w:r w:rsidR="008F27D7" w:rsidRPr="00B3622E">
        <w:rPr>
          <w:rFonts w:asciiTheme="minorHAnsi" w:hAnsiTheme="minorHAnsi" w:cstheme="minorHAnsi"/>
          <w:color w:val="auto"/>
        </w:rPr>
        <w:t>Risk</w:t>
      </w:r>
      <w:r w:rsidR="00952C06" w:rsidRPr="00B3622E">
        <w:rPr>
          <w:rFonts w:asciiTheme="minorHAnsi" w:hAnsiTheme="minorHAnsi" w:cstheme="minorHAnsi"/>
          <w:color w:val="auto"/>
        </w:rPr>
        <w:t xml:space="preserve"> Management Plan </w:t>
      </w:r>
      <w:r w:rsidR="00332721" w:rsidRPr="00B3622E">
        <w:rPr>
          <w:rFonts w:asciiTheme="minorHAnsi" w:hAnsiTheme="minorHAnsi" w:cstheme="minorHAnsi"/>
          <w:color w:val="auto"/>
        </w:rPr>
        <w:t>(</w:t>
      </w:r>
      <w:r w:rsidR="00CB0CEB" w:rsidRPr="00B3622E">
        <w:rPr>
          <w:rFonts w:asciiTheme="minorHAnsi" w:hAnsiTheme="minorHAnsi" w:cstheme="minorHAnsi"/>
          <w:color w:val="auto"/>
        </w:rPr>
        <w:t>Ref</w:t>
      </w:r>
      <w:r w:rsidR="00EF61EC" w:rsidRPr="00B3622E">
        <w:rPr>
          <w:rFonts w:asciiTheme="minorHAnsi" w:hAnsiTheme="minorHAnsi" w:cstheme="minorHAnsi"/>
          <w:color w:val="auto"/>
        </w:rPr>
        <w:t>:</w:t>
      </w:r>
      <w:r w:rsidR="008923DA" w:rsidRPr="00B3622E">
        <w:rPr>
          <w:rFonts w:asciiTheme="minorHAnsi" w:hAnsiTheme="minorHAnsi" w:cstheme="minorHAnsi"/>
          <w:color w:val="auto"/>
        </w:rPr>
        <w:t xml:space="preserve"> </w:t>
      </w:r>
      <w:r w:rsidR="00332721" w:rsidRPr="00B3622E">
        <w:rPr>
          <w:rFonts w:asciiTheme="minorHAnsi" w:hAnsiTheme="minorHAnsi" w:cstheme="minorHAnsi"/>
          <w:color w:val="auto"/>
        </w:rPr>
        <w:t>14)</w:t>
      </w:r>
      <w:r w:rsidR="00CB0CEB" w:rsidRPr="00B3622E">
        <w:rPr>
          <w:rFonts w:asciiTheme="minorHAnsi" w:hAnsiTheme="minorHAnsi" w:cstheme="minorHAnsi"/>
          <w:color w:val="auto"/>
        </w:rPr>
        <w:t xml:space="preserve"> </w:t>
      </w:r>
      <w:r w:rsidR="00952C06" w:rsidRPr="00B3622E">
        <w:rPr>
          <w:rFonts w:asciiTheme="minorHAnsi" w:hAnsiTheme="minorHAnsi" w:cstheme="minorHAnsi"/>
          <w:color w:val="auto"/>
        </w:rPr>
        <w:t xml:space="preserve">that sets out the processes, roles, and controls used to ensure compliance with the NHS DCB 0129 </w:t>
      </w:r>
      <w:r w:rsidR="00EA4A43" w:rsidRPr="00B3622E">
        <w:rPr>
          <w:rFonts w:asciiTheme="minorHAnsi" w:hAnsiTheme="minorHAnsi" w:cstheme="minorHAnsi"/>
          <w:color w:val="auto"/>
        </w:rPr>
        <w:t xml:space="preserve">and DCB 0160 </w:t>
      </w:r>
      <w:r w:rsidR="00952C06" w:rsidRPr="00B3622E">
        <w:rPr>
          <w:rFonts w:asciiTheme="minorHAnsi" w:hAnsiTheme="minorHAnsi" w:cstheme="minorHAnsi"/>
          <w:color w:val="auto"/>
        </w:rPr>
        <w:t>clinical safety standard</w:t>
      </w:r>
      <w:r w:rsidR="00EA4A43" w:rsidRPr="00B3622E">
        <w:rPr>
          <w:rFonts w:asciiTheme="minorHAnsi" w:hAnsiTheme="minorHAnsi" w:cstheme="minorHAnsi"/>
          <w:color w:val="auto"/>
        </w:rPr>
        <w:t>s</w:t>
      </w:r>
      <w:r w:rsidR="00952C06" w:rsidRPr="00B3622E">
        <w:rPr>
          <w:rFonts w:asciiTheme="minorHAnsi" w:hAnsiTheme="minorHAnsi" w:cstheme="minorHAnsi"/>
          <w:color w:val="auto"/>
        </w:rPr>
        <w:t xml:space="preserve">. This plan provides </w:t>
      </w:r>
      <w:r w:rsidR="00EB5912" w:rsidRPr="00B3622E">
        <w:rPr>
          <w:rFonts w:asciiTheme="minorHAnsi" w:hAnsiTheme="minorHAnsi" w:cstheme="minorHAnsi"/>
          <w:color w:val="auto"/>
        </w:rPr>
        <w:t xml:space="preserve">the approach </w:t>
      </w:r>
      <w:r w:rsidR="00E40E70" w:rsidRPr="00B3622E">
        <w:rPr>
          <w:rFonts w:asciiTheme="minorHAnsi" w:hAnsiTheme="minorHAnsi" w:cstheme="minorHAnsi"/>
          <w:color w:val="auto"/>
        </w:rPr>
        <w:t xml:space="preserve">to clinical risk evaluation and management </w:t>
      </w:r>
      <w:r w:rsidR="00952C06" w:rsidRPr="00B3622E">
        <w:rPr>
          <w:rFonts w:asciiTheme="minorHAnsi" w:hAnsiTheme="minorHAnsi" w:cstheme="minorHAnsi"/>
          <w:color w:val="auto"/>
        </w:rPr>
        <w:t>during the design and development o</w:t>
      </w:r>
      <w:r w:rsidR="00487A8E" w:rsidRPr="00B3622E">
        <w:rPr>
          <w:rFonts w:asciiTheme="minorHAnsi" w:hAnsiTheme="minorHAnsi" w:cstheme="minorHAnsi"/>
          <w:color w:val="auto"/>
        </w:rPr>
        <w:t>f the NIR</w:t>
      </w:r>
      <w:r w:rsidR="003F4D44" w:rsidRPr="00B3622E">
        <w:rPr>
          <w:rFonts w:asciiTheme="minorHAnsi" w:hAnsiTheme="minorHAnsi" w:cstheme="minorHAnsi"/>
          <w:color w:val="auto"/>
        </w:rPr>
        <w:t xml:space="preserve"> and into live service</w:t>
      </w:r>
      <w:r w:rsidR="00952C06" w:rsidRPr="00B3622E">
        <w:rPr>
          <w:rFonts w:asciiTheme="minorHAnsi" w:hAnsiTheme="minorHAnsi" w:cstheme="minorHAnsi"/>
          <w:color w:val="auto"/>
        </w:rPr>
        <w:t xml:space="preserve">. </w:t>
      </w:r>
    </w:p>
    <w:p w14:paraId="66D98A4A" w14:textId="209A00A2" w:rsidR="00952C06" w:rsidRPr="00B3622E" w:rsidRDefault="00487A8E" w:rsidP="00B82077">
      <w:pPr>
        <w:rPr>
          <w:rFonts w:asciiTheme="minorHAnsi" w:hAnsiTheme="minorHAnsi" w:cstheme="minorHAnsi"/>
          <w:color w:val="auto"/>
        </w:rPr>
      </w:pPr>
      <w:r w:rsidRPr="00B3622E">
        <w:rPr>
          <w:rFonts w:asciiTheme="minorHAnsi" w:hAnsiTheme="minorHAnsi" w:cstheme="minorHAnsi"/>
          <w:color w:val="auto"/>
        </w:rPr>
        <w:t>NHS England</w:t>
      </w:r>
      <w:r w:rsidR="00DF0F7A" w:rsidRPr="00B3622E">
        <w:rPr>
          <w:rFonts w:asciiTheme="minorHAnsi" w:hAnsiTheme="minorHAnsi" w:cstheme="minorHAnsi"/>
          <w:color w:val="auto"/>
        </w:rPr>
        <w:t xml:space="preserve"> </w:t>
      </w:r>
      <w:r w:rsidR="00C42758" w:rsidRPr="00B3622E">
        <w:rPr>
          <w:rFonts w:asciiTheme="minorHAnsi" w:hAnsiTheme="minorHAnsi" w:cstheme="minorHAnsi"/>
          <w:color w:val="auto"/>
        </w:rPr>
        <w:t>are</w:t>
      </w:r>
      <w:r w:rsidR="00DF0F7A" w:rsidRPr="00B3622E">
        <w:rPr>
          <w:rFonts w:asciiTheme="minorHAnsi" w:hAnsiTheme="minorHAnsi" w:cstheme="minorHAnsi"/>
          <w:color w:val="auto"/>
        </w:rPr>
        <w:t xml:space="preserve"> supported by Ethos Ltd, specialist consultants with expertise in NHS health IT safety and regulatory compliance, who provide input from a Clinical Safety Officer and Safety Engineering perspective</w:t>
      </w:r>
      <w:r w:rsidR="00952C06" w:rsidRPr="00B3622E">
        <w:rPr>
          <w:rFonts w:asciiTheme="minorHAnsi" w:hAnsiTheme="minorHAnsi" w:cstheme="minorHAnsi"/>
          <w:color w:val="auto"/>
        </w:rPr>
        <w:t>. This partnership ensures that</w:t>
      </w:r>
      <w:r w:rsidR="00690061" w:rsidRPr="00B3622E">
        <w:rPr>
          <w:rFonts w:asciiTheme="minorHAnsi" w:hAnsiTheme="minorHAnsi" w:cstheme="minorHAnsi"/>
          <w:color w:val="auto"/>
        </w:rPr>
        <w:t xml:space="preserve"> </w:t>
      </w:r>
      <w:r w:rsidR="00BF7A65" w:rsidRPr="00B3622E">
        <w:rPr>
          <w:rFonts w:asciiTheme="minorHAnsi" w:hAnsiTheme="minorHAnsi" w:cstheme="minorHAnsi"/>
          <w:color w:val="auto"/>
        </w:rPr>
        <w:t>the NIR assessment</w:t>
      </w:r>
      <w:r w:rsidR="00690061" w:rsidRPr="00B3622E">
        <w:rPr>
          <w:rFonts w:asciiTheme="minorHAnsi" w:hAnsiTheme="minorHAnsi" w:cstheme="minorHAnsi"/>
          <w:color w:val="auto"/>
        </w:rPr>
        <w:t xml:space="preserve"> </w:t>
      </w:r>
      <w:r w:rsidR="008372B4" w:rsidRPr="00B3622E">
        <w:rPr>
          <w:rFonts w:asciiTheme="minorHAnsi" w:hAnsiTheme="minorHAnsi" w:cstheme="minorHAnsi"/>
          <w:color w:val="auto"/>
        </w:rPr>
        <w:t xml:space="preserve">complies with </w:t>
      </w:r>
      <w:r w:rsidR="00952C06" w:rsidRPr="00B3622E">
        <w:rPr>
          <w:rFonts w:asciiTheme="minorHAnsi" w:hAnsiTheme="minorHAnsi" w:cstheme="minorHAnsi"/>
          <w:color w:val="auto"/>
        </w:rPr>
        <w:t xml:space="preserve">the assurance activities undertaken </w:t>
      </w:r>
      <w:r w:rsidR="00971AD8" w:rsidRPr="00B3622E">
        <w:rPr>
          <w:rFonts w:asciiTheme="minorHAnsi" w:hAnsiTheme="minorHAnsi" w:cstheme="minorHAnsi"/>
          <w:color w:val="auto"/>
        </w:rPr>
        <w:t xml:space="preserve">to </w:t>
      </w:r>
      <w:r w:rsidR="00952C06" w:rsidRPr="00B3622E">
        <w:rPr>
          <w:rFonts w:asciiTheme="minorHAnsi" w:hAnsiTheme="minorHAnsi" w:cstheme="minorHAnsi"/>
          <w:color w:val="auto"/>
        </w:rPr>
        <w:t>meet the intent and requirements of DCB 01</w:t>
      </w:r>
      <w:r w:rsidR="00BF7A65" w:rsidRPr="00B3622E">
        <w:rPr>
          <w:rFonts w:asciiTheme="minorHAnsi" w:hAnsiTheme="minorHAnsi" w:cstheme="minorHAnsi"/>
          <w:color w:val="auto"/>
        </w:rPr>
        <w:t>29</w:t>
      </w:r>
      <w:r w:rsidR="00952C06" w:rsidRPr="00B3622E">
        <w:rPr>
          <w:rFonts w:asciiTheme="minorHAnsi" w:hAnsiTheme="minorHAnsi" w:cstheme="minorHAnsi"/>
          <w:color w:val="auto"/>
        </w:rPr>
        <w:t>, providing NHS organisations with confidence in the product’s clinical safety.</w:t>
      </w:r>
    </w:p>
    <w:p w14:paraId="3861D37E" w14:textId="280DA029" w:rsidR="00BE235D" w:rsidRPr="00B3622E" w:rsidRDefault="00CA53A6" w:rsidP="00B82077">
      <w:pPr>
        <w:rPr>
          <w:rFonts w:asciiTheme="minorHAnsi" w:hAnsiTheme="minorHAnsi" w:cstheme="minorHAnsi"/>
          <w:color w:val="auto"/>
        </w:rPr>
      </w:pPr>
      <w:r w:rsidRPr="00B3622E">
        <w:rPr>
          <w:rFonts w:asciiTheme="minorHAnsi" w:hAnsiTheme="minorHAnsi" w:cstheme="minorHAnsi"/>
          <w:color w:val="auto"/>
        </w:rPr>
        <w:t>All c</w:t>
      </w:r>
      <w:r w:rsidR="00BE235D" w:rsidRPr="00B3622E">
        <w:rPr>
          <w:rFonts w:asciiTheme="minorHAnsi" w:hAnsiTheme="minorHAnsi" w:cstheme="minorHAnsi"/>
          <w:color w:val="auto"/>
        </w:rPr>
        <w:t xml:space="preserve">linical safety activities relating to </w:t>
      </w:r>
      <w:r w:rsidR="00BF7A65" w:rsidRPr="00B3622E">
        <w:rPr>
          <w:rFonts w:asciiTheme="minorHAnsi" w:hAnsiTheme="minorHAnsi" w:cstheme="minorHAnsi"/>
          <w:color w:val="auto"/>
        </w:rPr>
        <w:t>the NIR</w:t>
      </w:r>
      <w:r w:rsidR="00BE235D" w:rsidRPr="00B3622E">
        <w:rPr>
          <w:rFonts w:asciiTheme="minorHAnsi" w:hAnsiTheme="minorHAnsi" w:cstheme="minorHAnsi"/>
          <w:color w:val="auto"/>
        </w:rPr>
        <w:t xml:space="preserve"> are led by a registered clinician and trained CSO. In addition to the CSO, </w:t>
      </w:r>
      <w:r w:rsidR="005E0D12" w:rsidRPr="00B3622E">
        <w:rPr>
          <w:rFonts w:asciiTheme="minorHAnsi" w:hAnsiTheme="minorHAnsi" w:cstheme="minorHAnsi"/>
          <w:color w:val="auto"/>
        </w:rPr>
        <w:t xml:space="preserve">there is support from </w:t>
      </w:r>
      <w:r w:rsidR="00BE235D" w:rsidRPr="00B3622E">
        <w:rPr>
          <w:rFonts w:asciiTheme="minorHAnsi" w:hAnsiTheme="minorHAnsi" w:cstheme="minorHAnsi"/>
          <w:color w:val="auto"/>
        </w:rPr>
        <w:t>an experienced team that possesses in-depth knowledge of the product and its application in clinical settings.</w:t>
      </w:r>
    </w:p>
    <w:p w14:paraId="1820C868" w14:textId="08A0EBE3" w:rsidR="00135778" w:rsidRPr="00B3622E" w:rsidRDefault="002C6CB2" w:rsidP="00B82077">
      <w:pPr>
        <w:rPr>
          <w:rFonts w:asciiTheme="minorHAnsi" w:hAnsiTheme="minorHAnsi" w:cstheme="minorHAnsi"/>
          <w:color w:val="auto"/>
        </w:rPr>
      </w:pPr>
      <w:r w:rsidRPr="00B3622E">
        <w:rPr>
          <w:rFonts w:asciiTheme="minorHAnsi" w:hAnsiTheme="minorHAnsi" w:cstheme="minorHAnsi"/>
          <w:color w:val="auto"/>
        </w:rPr>
        <w:t xml:space="preserve">Clinical Safety </w:t>
      </w:r>
      <w:r w:rsidR="00110839" w:rsidRPr="00B3622E">
        <w:rPr>
          <w:rFonts w:asciiTheme="minorHAnsi" w:hAnsiTheme="minorHAnsi" w:cstheme="minorHAnsi"/>
          <w:color w:val="auto"/>
        </w:rPr>
        <w:t xml:space="preserve">assessment for </w:t>
      </w:r>
      <w:r w:rsidR="00512B40" w:rsidRPr="00B3622E">
        <w:rPr>
          <w:rFonts w:asciiTheme="minorHAnsi" w:hAnsiTheme="minorHAnsi" w:cstheme="minorHAnsi"/>
          <w:color w:val="auto"/>
        </w:rPr>
        <w:t xml:space="preserve">the NIR </w:t>
      </w:r>
      <w:r w:rsidRPr="00B3622E">
        <w:rPr>
          <w:rFonts w:asciiTheme="minorHAnsi" w:hAnsiTheme="minorHAnsi" w:cstheme="minorHAnsi"/>
          <w:color w:val="auto"/>
        </w:rPr>
        <w:t xml:space="preserve">has been completed </w:t>
      </w:r>
      <w:r w:rsidR="00110839" w:rsidRPr="00B3622E">
        <w:rPr>
          <w:rFonts w:asciiTheme="minorHAnsi" w:hAnsiTheme="minorHAnsi" w:cstheme="minorHAnsi"/>
          <w:color w:val="auto"/>
        </w:rPr>
        <w:t>with the support of</w:t>
      </w:r>
      <w:r w:rsidR="009C380A" w:rsidRPr="00B3622E">
        <w:rPr>
          <w:rFonts w:asciiTheme="minorHAnsi" w:hAnsiTheme="minorHAnsi" w:cstheme="minorHAnsi"/>
          <w:color w:val="auto"/>
        </w:rPr>
        <w:t xml:space="preserve"> a number of specialists</w:t>
      </w:r>
      <w:r w:rsidR="00650CE0" w:rsidRPr="00B3622E">
        <w:rPr>
          <w:rFonts w:asciiTheme="minorHAnsi" w:hAnsiTheme="minorHAnsi" w:cstheme="minorHAnsi"/>
          <w:color w:val="auto"/>
        </w:rPr>
        <w:t>, detailed with their role, organisation and input as in Table</w:t>
      </w:r>
      <w:r w:rsidR="00E41F0B" w:rsidRPr="00B3622E">
        <w:rPr>
          <w:rFonts w:asciiTheme="minorHAnsi" w:hAnsiTheme="minorHAnsi" w:cstheme="minorHAnsi"/>
          <w:color w:val="auto"/>
        </w:rPr>
        <w:t xml:space="preserve"> 2. </w:t>
      </w:r>
    </w:p>
    <w:p w14:paraId="2086203C" w14:textId="77777777" w:rsidR="00135778" w:rsidRDefault="00135778">
      <w:pPr>
        <w:spacing w:after="0"/>
        <w:textboxTightWrap w:val="none"/>
        <w:rPr>
          <w:rFonts w:asciiTheme="minorHAnsi" w:hAnsiTheme="minorHAnsi" w:cstheme="minorHAnsi"/>
          <w:color w:val="auto"/>
          <w:sz w:val="22"/>
          <w:szCs w:val="22"/>
        </w:rPr>
      </w:pPr>
      <w:r>
        <w:rPr>
          <w:rFonts w:asciiTheme="minorHAnsi" w:hAnsiTheme="minorHAnsi" w:cstheme="minorHAnsi"/>
          <w:color w:val="auto"/>
          <w:sz w:val="22"/>
          <w:szCs w:val="22"/>
        </w:rPr>
        <w:lastRenderedPageBreak/>
        <w:br w:type="page"/>
      </w:r>
    </w:p>
    <w:p w14:paraId="20200D0A" w14:textId="77777777" w:rsidR="00650CE0" w:rsidRPr="00BD7FB4" w:rsidRDefault="00650CE0" w:rsidP="00B82077">
      <w:pPr>
        <w:rPr>
          <w:rFonts w:asciiTheme="minorHAnsi" w:hAnsiTheme="minorHAnsi" w:cstheme="minorHAnsi"/>
          <w:color w:val="auto"/>
          <w:sz w:val="22"/>
          <w:szCs w:val="22"/>
          <w:lang w:eastAsia="en-GB"/>
        </w:rPr>
      </w:pPr>
    </w:p>
    <w:tbl>
      <w:tblPr>
        <w:tblStyle w:val="TableGrid"/>
        <w:tblW w:w="0" w:type="auto"/>
        <w:tblLook w:val="04A0" w:firstRow="1" w:lastRow="0" w:firstColumn="1" w:lastColumn="0" w:noHBand="0" w:noVBand="1"/>
      </w:tblPr>
      <w:tblGrid>
        <w:gridCol w:w="1555"/>
        <w:gridCol w:w="2976"/>
        <w:gridCol w:w="5245"/>
      </w:tblGrid>
      <w:tr w:rsidR="00C5042C" w14:paraId="54798306" w14:textId="2420CB13" w:rsidTr="00650CE0">
        <w:trPr>
          <w:cantSplit/>
          <w:tblHeader/>
        </w:trPr>
        <w:tc>
          <w:tcPr>
            <w:tcW w:w="1555" w:type="dxa"/>
            <w:shd w:val="clear" w:color="auto" w:fill="D0D5D6" w:themeFill="accent5"/>
          </w:tcPr>
          <w:p w14:paraId="15C81151" w14:textId="71E018AC" w:rsidR="00C5042C" w:rsidRPr="00D40497" w:rsidRDefault="00C5042C" w:rsidP="00C92831">
            <w:pPr>
              <w:rPr>
                <w:sz w:val="22"/>
                <w:szCs w:val="22"/>
              </w:rPr>
            </w:pPr>
            <w:r w:rsidRPr="00D40497">
              <w:rPr>
                <w:sz w:val="22"/>
                <w:szCs w:val="22"/>
              </w:rPr>
              <w:t>Name</w:t>
            </w:r>
          </w:p>
        </w:tc>
        <w:tc>
          <w:tcPr>
            <w:tcW w:w="2976" w:type="dxa"/>
            <w:shd w:val="clear" w:color="auto" w:fill="D0D5D6" w:themeFill="accent5"/>
          </w:tcPr>
          <w:p w14:paraId="374CFF42" w14:textId="597C6CAA" w:rsidR="00C5042C" w:rsidRPr="00D40497" w:rsidRDefault="00C5042C" w:rsidP="00C92831">
            <w:pPr>
              <w:rPr>
                <w:sz w:val="22"/>
                <w:szCs w:val="22"/>
              </w:rPr>
            </w:pPr>
            <w:r w:rsidRPr="00D40497">
              <w:rPr>
                <w:sz w:val="22"/>
                <w:szCs w:val="22"/>
              </w:rPr>
              <w:t>Role / Title &amp; Organisation</w:t>
            </w:r>
          </w:p>
        </w:tc>
        <w:tc>
          <w:tcPr>
            <w:tcW w:w="5245" w:type="dxa"/>
            <w:shd w:val="clear" w:color="auto" w:fill="D0D5D6" w:themeFill="accent5"/>
          </w:tcPr>
          <w:p w14:paraId="191B60F6" w14:textId="250A63B1" w:rsidR="00C5042C" w:rsidRPr="00D40497" w:rsidRDefault="00C5042C" w:rsidP="00C92831">
            <w:pPr>
              <w:rPr>
                <w:sz w:val="22"/>
                <w:szCs w:val="22"/>
              </w:rPr>
            </w:pPr>
            <w:r w:rsidRPr="00D40497">
              <w:rPr>
                <w:sz w:val="22"/>
                <w:szCs w:val="22"/>
              </w:rPr>
              <w:t>Type of Contribution / Support</w:t>
            </w:r>
          </w:p>
        </w:tc>
      </w:tr>
      <w:tr w:rsidR="00C92831" w14:paraId="7180903A" w14:textId="0966B6E5" w:rsidTr="00650CE0">
        <w:trPr>
          <w:cantSplit/>
        </w:trPr>
        <w:tc>
          <w:tcPr>
            <w:tcW w:w="1555" w:type="dxa"/>
          </w:tcPr>
          <w:p w14:paraId="54A45A8A" w14:textId="1A9F32A7" w:rsidR="00C92831" w:rsidRPr="00D40497" w:rsidRDefault="00C92831" w:rsidP="00C92831">
            <w:pPr>
              <w:rPr>
                <w:sz w:val="22"/>
                <w:szCs w:val="22"/>
              </w:rPr>
            </w:pPr>
            <w:r w:rsidRPr="00D40497">
              <w:rPr>
                <w:sz w:val="22"/>
                <w:szCs w:val="22"/>
              </w:rPr>
              <w:t>Savan Shah</w:t>
            </w:r>
          </w:p>
        </w:tc>
        <w:tc>
          <w:tcPr>
            <w:tcW w:w="2976" w:type="dxa"/>
          </w:tcPr>
          <w:p w14:paraId="40324669" w14:textId="18A0D1D8" w:rsidR="00C92831" w:rsidRPr="00D40497" w:rsidRDefault="00C92831" w:rsidP="00C92831">
            <w:pPr>
              <w:rPr>
                <w:sz w:val="22"/>
                <w:szCs w:val="22"/>
              </w:rPr>
            </w:pPr>
            <w:r w:rsidRPr="00D40497">
              <w:rPr>
                <w:sz w:val="22"/>
                <w:szCs w:val="22"/>
              </w:rPr>
              <w:t>Clinical Safety Officer (Signatory) – Ethos Ltd</w:t>
            </w:r>
          </w:p>
        </w:tc>
        <w:tc>
          <w:tcPr>
            <w:tcW w:w="5245" w:type="dxa"/>
          </w:tcPr>
          <w:p w14:paraId="44832A29" w14:textId="13DD7C8F" w:rsidR="00C92831" w:rsidRPr="00D40497" w:rsidRDefault="00C92831" w:rsidP="00C92831">
            <w:pPr>
              <w:rPr>
                <w:sz w:val="22"/>
                <w:szCs w:val="22"/>
              </w:rPr>
            </w:pPr>
            <w:r w:rsidRPr="00D40497">
              <w:rPr>
                <w:sz w:val="22"/>
                <w:szCs w:val="22"/>
              </w:rPr>
              <w:t>Lead Clinical Safety Officer for NIR. Facilitated hazard workshops, authored CRMP and CSCR, validated hazard controls, managed the hazard log and coordinated assurance evidence.</w:t>
            </w:r>
          </w:p>
        </w:tc>
      </w:tr>
      <w:tr w:rsidR="00C92831" w14:paraId="76364EDA" w14:textId="0092D54C" w:rsidTr="00650CE0">
        <w:trPr>
          <w:cantSplit/>
        </w:trPr>
        <w:tc>
          <w:tcPr>
            <w:tcW w:w="1555" w:type="dxa"/>
          </w:tcPr>
          <w:p w14:paraId="6C29E71F" w14:textId="33003A63" w:rsidR="00C92831" w:rsidRPr="00D40497" w:rsidRDefault="00C92831" w:rsidP="00C92831">
            <w:pPr>
              <w:rPr>
                <w:sz w:val="22"/>
                <w:szCs w:val="22"/>
              </w:rPr>
            </w:pPr>
            <w:r w:rsidRPr="00D40497">
              <w:rPr>
                <w:sz w:val="22"/>
                <w:szCs w:val="22"/>
              </w:rPr>
              <w:t>Dr Joseph Barnett</w:t>
            </w:r>
          </w:p>
        </w:tc>
        <w:tc>
          <w:tcPr>
            <w:tcW w:w="2976" w:type="dxa"/>
          </w:tcPr>
          <w:p w14:paraId="1E947963" w14:textId="73AA7823" w:rsidR="00C92831" w:rsidRPr="00D40497" w:rsidRDefault="00C92831" w:rsidP="00C92831">
            <w:pPr>
              <w:rPr>
                <w:sz w:val="22"/>
                <w:szCs w:val="22"/>
              </w:rPr>
            </w:pPr>
            <w:r w:rsidRPr="00D40497">
              <w:rPr>
                <w:sz w:val="22"/>
                <w:szCs w:val="22"/>
              </w:rPr>
              <w:t xml:space="preserve">Clinical Safety Lead (NIR), Consultant Radiologist, National </w:t>
            </w:r>
            <w:r w:rsidR="00DE5EBC">
              <w:rPr>
                <w:sz w:val="22"/>
                <w:szCs w:val="22"/>
              </w:rPr>
              <w:t>Speciality</w:t>
            </w:r>
            <w:r w:rsidRPr="00D40497">
              <w:rPr>
                <w:sz w:val="22"/>
                <w:szCs w:val="22"/>
              </w:rPr>
              <w:t xml:space="preserve"> Advisor for Imaging (AI &amp; Digital) – NHS England / Royal Free London NHS Foundation Trust</w:t>
            </w:r>
          </w:p>
        </w:tc>
        <w:tc>
          <w:tcPr>
            <w:tcW w:w="5245" w:type="dxa"/>
          </w:tcPr>
          <w:p w14:paraId="1C0D6A13" w14:textId="401479CF" w:rsidR="00C92831" w:rsidRPr="00D40497" w:rsidRDefault="00C92831" w:rsidP="00C92831">
            <w:pPr>
              <w:rPr>
                <w:sz w:val="22"/>
                <w:szCs w:val="22"/>
              </w:rPr>
            </w:pPr>
            <w:r w:rsidRPr="00D40497">
              <w:rPr>
                <w:sz w:val="22"/>
                <w:szCs w:val="22"/>
              </w:rPr>
              <w:t>Provided clinical leadership, subject matter expertise, and oversight of hazard reviews and safety documentation. Chaired reviews and endorsed CRMP.</w:t>
            </w:r>
          </w:p>
        </w:tc>
      </w:tr>
      <w:tr w:rsidR="00C92831" w14:paraId="613E5117" w14:textId="035E6A3A" w:rsidTr="00650CE0">
        <w:trPr>
          <w:cantSplit/>
        </w:trPr>
        <w:tc>
          <w:tcPr>
            <w:tcW w:w="1555" w:type="dxa"/>
          </w:tcPr>
          <w:p w14:paraId="1C7BF15E" w14:textId="6C91CA85" w:rsidR="00C92831" w:rsidRPr="00D40497" w:rsidRDefault="00C92831" w:rsidP="00C92831">
            <w:pPr>
              <w:rPr>
                <w:sz w:val="22"/>
                <w:szCs w:val="22"/>
              </w:rPr>
            </w:pPr>
            <w:r w:rsidRPr="00D40497">
              <w:rPr>
                <w:sz w:val="22"/>
                <w:szCs w:val="22"/>
              </w:rPr>
              <w:t>Patrick Lester</w:t>
            </w:r>
          </w:p>
        </w:tc>
        <w:tc>
          <w:tcPr>
            <w:tcW w:w="2976" w:type="dxa"/>
          </w:tcPr>
          <w:p w14:paraId="59E7537A" w14:textId="2D6A7BC6" w:rsidR="00C92831" w:rsidRPr="00D40497" w:rsidRDefault="00C92831" w:rsidP="00C92831">
            <w:pPr>
              <w:rPr>
                <w:sz w:val="22"/>
                <w:szCs w:val="22"/>
              </w:rPr>
            </w:pPr>
            <w:r w:rsidRPr="00D40497">
              <w:rPr>
                <w:sz w:val="22"/>
                <w:szCs w:val="22"/>
              </w:rPr>
              <w:t>Principal Clinical Safety Officer – Ethos Ltd</w:t>
            </w:r>
          </w:p>
        </w:tc>
        <w:tc>
          <w:tcPr>
            <w:tcW w:w="5245" w:type="dxa"/>
          </w:tcPr>
          <w:p w14:paraId="581DEEF0" w14:textId="7761F069" w:rsidR="00C92831" w:rsidRPr="00D40497" w:rsidRDefault="00A216E7" w:rsidP="00C92831">
            <w:pPr>
              <w:rPr>
                <w:sz w:val="22"/>
                <w:szCs w:val="22"/>
              </w:rPr>
            </w:pPr>
            <w:r>
              <w:rPr>
                <w:sz w:val="22"/>
                <w:szCs w:val="22"/>
              </w:rPr>
              <w:t>P</w:t>
            </w:r>
            <w:r w:rsidR="00C92831" w:rsidRPr="00D40497">
              <w:rPr>
                <w:sz w:val="22"/>
                <w:szCs w:val="22"/>
              </w:rPr>
              <w:t xml:space="preserve">rovided review, risk evaluation and </w:t>
            </w:r>
            <w:r>
              <w:rPr>
                <w:sz w:val="22"/>
                <w:szCs w:val="22"/>
              </w:rPr>
              <w:t>safety process oversight</w:t>
            </w:r>
            <w:r w:rsidR="00C92831" w:rsidRPr="00D40497">
              <w:rPr>
                <w:sz w:val="22"/>
                <w:szCs w:val="22"/>
              </w:rPr>
              <w:t xml:space="preserve"> for DCB 0129 and DCB 0160 documentation.</w:t>
            </w:r>
          </w:p>
        </w:tc>
      </w:tr>
      <w:tr w:rsidR="00C92831" w14:paraId="3984F762" w14:textId="71A7330B" w:rsidTr="00650CE0">
        <w:trPr>
          <w:cantSplit/>
        </w:trPr>
        <w:tc>
          <w:tcPr>
            <w:tcW w:w="1555" w:type="dxa"/>
          </w:tcPr>
          <w:p w14:paraId="2EB9C436" w14:textId="0A6E030B" w:rsidR="00C92831" w:rsidRPr="00D40497" w:rsidRDefault="00C92831" w:rsidP="00C92831">
            <w:pPr>
              <w:rPr>
                <w:sz w:val="22"/>
                <w:szCs w:val="22"/>
              </w:rPr>
            </w:pPr>
            <w:r w:rsidRPr="00D40497">
              <w:rPr>
                <w:sz w:val="22"/>
                <w:szCs w:val="22"/>
              </w:rPr>
              <w:t>Andrew Harrison</w:t>
            </w:r>
          </w:p>
        </w:tc>
        <w:tc>
          <w:tcPr>
            <w:tcW w:w="2976" w:type="dxa"/>
          </w:tcPr>
          <w:p w14:paraId="27A911D4" w14:textId="691B23FC" w:rsidR="00C92831" w:rsidRPr="00D40497" w:rsidRDefault="00C92831" w:rsidP="00C92831">
            <w:pPr>
              <w:rPr>
                <w:sz w:val="22"/>
                <w:szCs w:val="22"/>
              </w:rPr>
            </w:pPr>
            <w:r w:rsidRPr="00D40497">
              <w:rPr>
                <w:sz w:val="22"/>
                <w:szCs w:val="22"/>
              </w:rPr>
              <w:t>Clinical Safety Engineer / Technical Lead – Ethos Ltd</w:t>
            </w:r>
          </w:p>
        </w:tc>
        <w:tc>
          <w:tcPr>
            <w:tcW w:w="5245" w:type="dxa"/>
          </w:tcPr>
          <w:p w14:paraId="365E1453" w14:textId="61D42C31" w:rsidR="00C92831" w:rsidRPr="00D40497" w:rsidRDefault="00C92831" w:rsidP="00C92831">
            <w:pPr>
              <w:rPr>
                <w:sz w:val="22"/>
                <w:szCs w:val="22"/>
              </w:rPr>
            </w:pPr>
            <w:r w:rsidRPr="00D40497">
              <w:rPr>
                <w:sz w:val="22"/>
                <w:szCs w:val="22"/>
              </w:rPr>
              <w:t>Facilitated hazard workshops, drafted hazard logs, integrated technical mitigations, and led documentation of clinical and technical controls.</w:t>
            </w:r>
          </w:p>
        </w:tc>
      </w:tr>
      <w:tr w:rsidR="00C92831" w14:paraId="34531834" w14:textId="45AB5C2B" w:rsidTr="00650CE0">
        <w:trPr>
          <w:cantSplit/>
        </w:trPr>
        <w:tc>
          <w:tcPr>
            <w:tcW w:w="1555" w:type="dxa"/>
          </w:tcPr>
          <w:p w14:paraId="3D1349C3" w14:textId="23B04D7D" w:rsidR="00C92831" w:rsidRPr="00D40497" w:rsidRDefault="00C92831" w:rsidP="00C92831">
            <w:pPr>
              <w:rPr>
                <w:sz w:val="22"/>
                <w:szCs w:val="22"/>
              </w:rPr>
            </w:pPr>
            <w:r w:rsidRPr="00D40497">
              <w:rPr>
                <w:sz w:val="22"/>
                <w:szCs w:val="22"/>
              </w:rPr>
              <w:t>Zak Bickhan</w:t>
            </w:r>
          </w:p>
        </w:tc>
        <w:tc>
          <w:tcPr>
            <w:tcW w:w="2976" w:type="dxa"/>
          </w:tcPr>
          <w:p w14:paraId="28018B8B" w14:textId="51405835" w:rsidR="00C92831" w:rsidRPr="00D40497" w:rsidRDefault="00C92831" w:rsidP="00C92831">
            <w:pPr>
              <w:rPr>
                <w:sz w:val="22"/>
                <w:szCs w:val="22"/>
              </w:rPr>
            </w:pPr>
            <w:r w:rsidRPr="00D40497">
              <w:rPr>
                <w:sz w:val="22"/>
                <w:szCs w:val="22"/>
              </w:rPr>
              <w:t>Assurance Clinical Safety Officer – NHS England Clinical Safety Group</w:t>
            </w:r>
          </w:p>
        </w:tc>
        <w:tc>
          <w:tcPr>
            <w:tcW w:w="5245" w:type="dxa"/>
          </w:tcPr>
          <w:p w14:paraId="59FBBC08" w14:textId="742365FA" w:rsidR="00C92831" w:rsidRPr="00D40497" w:rsidRDefault="00C92831" w:rsidP="00C92831">
            <w:pPr>
              <w:rPr>
                <w:sz w:val="22"/>
                <w:szCs w:val="22"/>
              </w:rPr>
            </w:pPr>
            <w:r w:rsidRPr="00D40497">
              <w:rPr>
                <w:sz w:val="22"/>
                <w:szCs w:val="22"/>
              </w:rPr>
              <w:t>Provided assurance oversight and clinical safety review across the hazard log and CSCR.</w:t>
            </w:r>
          </w:p>
        </w:tc>
      </w:tr>
      <w:tr w:rsidR="00C92831" w14:paraId="120B3FF4" w14:textId="46DD1D46" w:rsidTr="00650CE0">
        <w:trPr>
          <w:cantSplit/>
        </w:trPr>
        <w:tc>
          <w:tcPr>
            <w:tcW w:w="1555" w:type="dxa"/>
          </w:tcPr>
          <w:p w14:paraId="54856063" w14:textId="0D0C196A" w:rsidR="00C92831" w:rsidRPr="00D40497" w:rsidRDefault="00C92831" w:rsidP="00C92831">
            <w:pPr>
              <w:rPr>
                <w:sz w:val="22"/>
                <w:szCs w:val="22"/>
              </w:rPr>
            </w:pPr>
            <w:r w:rsidRPr="00D40497">
              <w:rPr>
                <w:sz w:val="22"/>
                <w:szCs w:val="22"/>
              </w:rPr>
              <w:t>Elizabeth Williams</w:t>
            </w:r>
          </w:p>
        </w:tc>
        <w:tc>
          <w:tcPr>
            <w:tcW w:w="2976" w:type="dxa"/>
          </w:tcPr>
          <w:p w14:paraId="1BCF992C" w14:textId="2C84C50B" w:rsidR="00C92831" w:rsidRPr="00D40497" w:rsidRDefault="00C92831" w:rsidP="00C92831">
            <w:pPr>
              <w:rPr>
                <w:sz w:val="22"/>
                <w:szCs w:val="22"/>
              </w:rPr>
            </w:pPr>
            <w:r w:rsidRPr="00D40497">
              <w:rPr>
                <w:sz w:val="22"/>
                <w:szCs w:val="22"/>
              </w:rPr>
              <w:t>Assurance and Safety Governance – NHS England</w:t>
            </w:r>
          </w:p>
        </w:tc>
        <w:tc>
          <w:tcPr>
            <w:tcW w:w="5245" w:type="dxa"/>
          </w:tcPr>
          <w:p w14:paraId="2BB8E18B" w14:textId="587F9C2D" w:rsidR="00C92831" w:rsidRPr="00D40497" w:rsidRDefault="00C92831" w:rsidP="00C92831">
            <w:pPr>
              <w:rPr>
                <w:sz w:val="22"/>
                <w:szCs w:val="22"/>
              </w:rPr>
            </w:pPr>
            <w:r w:rsidRPr="00D40497">
              <w:rPr>
                <w:sz w:val="22"/>
                <w:szCs w:val="22"/>
              </w:rPr>
              <w:t>Participated in workshops and document reviews, ensured governance and alignment with NHS Clinical Safety Review processes.</w:t>
            </w:r>
          </w:p>
        </w:tc>
      </w:tr>
      <w:tr w:rsidR="00C92831" w14:paraId="4CAA14D8" w14:textId="6CEFD88B" w:rsidTr="00650CE0">
        <w:trPr>
          <w:cantSplit/>
        </w:trPr>
        <w:tc>
          <w:tcPr>
            <w:tcW w:w="1555" w:type="dxa"/>
          </w:tcPr>
          <w:p w14:paraId="565B9462" w14:textId="329758A5" w:rsidR="00C92831" w:rsidRPr="00D40497" w:rsidRDefault="00C92831" w:rsidP="00C92831">
            <w:pPr>
              <w:rPr>
                <w:sz w:val="22"/>
                <w:szCs w:val="22"/>
              </w:rPr>
            </w:pPr>
            <w:r w:rsidRPr="00D40497">
              <w:rPr>
                <w:sz w:val="22"/>
                <w:szCs w:val="22"/>
              </w:rPr>
              <w:t>Kira Pennington</w:t>
            </w:r>
          </w:p>
        </w:tc>
        <w:tc>
          <w:tcPr>
            <w:tcW w:w="2976" w:type="dxa"/>
          </w:tcPr>
          <w:p w14:paraId="12584B6C" w14:textId="7C87FE06" w:rsidR="00C92831" w:rsidRPr="00D40497" w:rsidRDefault="00C92831" w:rsidP="00C92831">
            <w:pPr>
              <w:rPr>
                <w:sz w:val="22"/>
                <w:szCs w:val="22"/>
              </w:rPr>
            </w:pPr>
            <w:r w:rsidRPr="00D40497">
              <w:rPr>
                <w:sz w:val="22"/>
                <w:szCs w:val="22"/>
              </w:rPr>
              <w:t>Programme Manager / Governance Lead – NHS England</w:t>
            </w:r>
          </w:p>
        </w:tc>
        <w:tc>
          <w:tcPr>
            <w:tcW w:w="5245" w:type="dxa"/>
          </w:tcPr>
          <w:p w14:paraId="4853370B" w14:textId="7858980A" w:rsidR="00C92831" w:rsidRPr="00D40497" w:rsidRDefault="00C92831" w:rsidP="00C92831">
            <w:pPr>
              <w:rPr>
                <w:sz w:val="22"/>
                <w:szCs w:val="22"/>
              </w:rPr>
            </w:pPr>
            <w:r w:rsidRPr="00D40497">
              <w:rPr>
                <w:sz w:val="22"/>
                <w:szCs w:val="22"/>
              </w:rPr>
              <w:t>Coordinated hazard workshop logistics, contributed to governance structure and scheduling of follow-up reviews.</w:t>
            </w:r>
          </w:p>
        </w:tc>
      </w:tr>
      <w:tr w:rsidR="00C92831" w14:paraId="1BCDBB8E" w14:textId="12A8DC48" w:rsidTr="00650CE0">
        <w:trPr>
          <w:cantSplit/>
        </w:trPr>
        <w:tc>
          <w:tcPr>
            <w:tcW w:w="1555" w:type="dxa"/>
          </w:tcPr>
          <w:p w14:paraId="50579E49" w14:textId="79CDB55C" w:rsidR="00C92831" w:rsidRPr="00D40497" w:rsidRDefault="00C92831" w:rsidP="00C92831">
            <w:pPr>
              <w:rPr>
                <w:sz w:val="22"/>
                <w:szCs w:val="22"/>
              </w:rPr>
            </w:pPr>
            <w:r w:rsidRPr="00D40497">
              <w:rPr>
                <w:sz w:val="22"/>
                <w:szCs w:val="22"/>
              </w:rPr>
              <w:t>Dan Jones</w:t>
            </w:r>
          </w:p>
        </w:tc>
        <w:tc>
          <w:tcPr>
            <w:tcW w:w="2976" w:type="dxa"/>
          </w:tcPr>
          <w:p w14:paraId="4C6039A6" w14:textId="082933E1" w:rsidR="00C92831" w:rsidRPr="00D40497" w:rsidRDefault="00C92831" w:rsidP="00C92831">
            <w:pPr>
              <w:rPr>
                <w:sz w:val="22"/>
                <w:szCs w:val="22"/>
              </w:rPr>
            </w:pPr>
            <w:r w:rsidRPr="00D40497">
              <w:rPr>
                <w:sz w:val="22"/>
                <w:szCs w:val="22"/>
              </w:rPr>
              <w:t>Technical Lead (Omega Squad) – NHS England</w:t>
            </w:r>
          </w:p>
        </w:tc>
        <w:tc>
          <w:tcPr>
            <w:tcW w:w="5245" w:type="dxa"/>
          </w:tcPr>
          <w:p w14:paraId="73177099" w14:textId="6BEC5FBD" w:rsidR="00C92831" w:rsidRPr="00D40497" w:rsidRDefault="00C92831" w:rsidP="00C92831">
            <w:pPr>
              <w:rPr>
                <w:sz w:val="22"/>
                <w:szCs w:val="22"/>
              </w:rPr>
            </w:pPr>
            <w:r w:rsidRPr="00D40497">
              <w:rPr>
                <w:sz w:val="22"/>
                <w:szCs w:val="22"/>
              </w:rPr>
              <w:t>Contributed to hazard identification and control validation, produced onboarding guidance for certificate management and configuration assurance.</w:t>
            </w:r>
          </w:p>
        </w:tc>
      </w:tr>
      <w:tr w:rsidR="00C92831" w14:paraId="38AF3236" w14:textId="3B6ADE7E" w:rsidTr="00650CE0">
        <w:trPr>
          <w:cantSplit/>
        </w:trPr>
        <w:tc>
          <w:tcPr>
            <w:tcW w:w="1555" w:type="dxa"/>
          </w:tcPr>
          <w:p w14:paraId="2276B0A0" w14:textId="6621C5AD" w:rsidR="00C92831" w:rsidRPr="00D40497" w:rsidRDefault="00C92831" w:rsidP="00C92831">
            <w:pPr>
              <w:rPr>
                <w:sz w:val="22"/>
                <w:szCs w:val="22"/>
              </w:rPr>
            </w:pPr>
            <w:r w:rsidRPr="00D40497">
              <w:rPr>
                <w:sz w:val="22"/>
                <w:szCs w:val="22"/>
              </w:rPr>
              <w:t>Gbemi Adefuye</w:t>
            </w:r>
          </w:p>
        </w:tc>
        <w:tc>
          <w:tcPr>
            <w:tcW w:w="2976" w:type="dxa"/>
          </w:tcPr>
          <w:p w14:paraId="3E62BD85" w14:textId="2FB7F06B" w:rsidR="00C92831" w:rsidRPr="00D40497" w:rsidRDefault="00C92831" w:rsidP="00C92831">
            <w:pPr>
              <w:rPr>
                <w:sz w:val="22"/>
                <w:szCs w:val="22"/>
              </w:rPr>
            </w:pPr>
            <w:r w:rsidRPr="00D40497">
              <w:rPr>
                <w:sz w:val="22"/>
                <w:szCs w:val="22"/>
              </w:rPr>
              <w:t>Cyber Security Consultant – NHS England</w:t>
            </w:r>
          </w:p>
        </w:tc>
        <w:tc>
          <w:tcPr>
            <w:tcW w:w="5245" w:type="dxa"/>
          </w:tcPr>
          <w:p w14:paraId="0DE6612B" w14:textId="0AF4CF03" w:rsidR="00C92831" w:rsidRPr="00D40497" w:rsidRDefault="00C92831" w:rsidP="00C92831">
            <w:pPr>
              <w:rPr>
                <w:sz w:val="22"/>
                <w:szCs w:val="22"/>
              </w:rPr>
            </w:pPr>
            <w:r w:rsidRPr="00D40497">
              <w:rPr>
                <w:sz w:val="22"/>
                <w:szCs w:val="22"/>
              </w:rPr>
              <w:t>Provided input on cyber-related hazards, reviewed mitigations for security/access control, aligned with NHS England Cyber Security Board.</w:t>
            </w:r>
          </w:p>
        </w:tc>
      </w:tr>
      <w:tr w:rsidR="00C92831" w14:paraId="5209DF90" w14:textId="548CEA73" w:rsidTr="00650CE0">
        <w:trPr>
          <w:cantSplit/>
        </w:trPr>
        <w:tc>
          <w:tcPr>
            <w:tcW w:w="1555" w:type="dxa"/>
          </w:tcPr>
          <w:p w14:paraId="1E121E5D" w14:textId="6CB66B9F" w:rsidR="00C92831" w:rsidRPr="00D40497" w:rsidRDefault="00C92831" w:rsidP="00C92831">
            <w:pPr>
              <w:rPr>
                <w:sz w:val="22"/>
                <w:szCs w:val="22"/>
              </w:rPr>
            </w:pPr>
            <w:r w:rsidRPr="00D40497">
              <w:rPr>
                <w:sz w:val="22"/>
                <w:szCs w:val="22"/>
              </w:rPr>
              <w:t>Nicola Mallender-Ward</w:t>
            </w:r>
          </w:p>
        </w:tc>
        <w:tc>
          <w:tcPr>
            <w:tcW w:w="2976" w:type="dxa"/>
          </w:tcPr>
          <w:p w14:paraId="3823916E" w14:textId="3E8EFCC2" w:rsidR="00C92831" w:rsidRPr="00D40497" w:rsidRDefault="00C92831" w:rsidP="00C92831">
            <w:pPr>
              <w:rPr>
                <w:sz w:val="22"/>
                <w:szCs w:val="22"/>
              </w:rPr>
            </w:pPr>
            <w:r w:rsidRPr="00D40497">
              <w:rPr>
                <w:sz w:val="22"/>
                <w:szCs w:val="22"/>
              </w:rPr>
              <w:t>Information Governance Lead – NHS England</w:t>
            </w:r>
          </w:p>
        </w:tc>
        <w:tc>
          <w:tcPr>
            <w:tcW w:w="5245" w:type="dxa"/>
          </w:tcPr>
          <w:p w14:paraId="3D0B1EA9" w14:textId="2513A42C" w:rsidR="00C92831" w:rsidRPr="00D40497" w:rsidRDefault="00C92831" w:rsidP="00C92831">
            <w:pPr>
              <w:rPr>
                <w:sz w:val="22"/>
                <w:szCs w:val="22"/>
              </w:rPr>
            </w:pPr>
            <w:r w:rsidRPr="00D40497">
              <w:rPr>
                <w:sz w:val="22"/>
                <w:szCs w:val="22"/>
              </w:rPr>
              <w:t>Provided IG advice on data sharing, privacy notices, and consent hazard mitigations; contributed to DCB 0160 documentation.</w:t>
            </w:r>
          </w:p>
        </w:tc>
      </w:tr>
      <w:tr w:rsidR="00C92831" w14:paraId="53991FF8" w14:textId="471794D2" w:rsidTr="00650CE0">
        <w:trPr>
          <w:cantSplit/>
        </w:trPr>
        <w:tc>
          <w:tcPr>
            <w:tcW w:w="1555" w:type="dxa"/>
          </w:tcPr>
          <w:p w14:paraId="19B4FB0C" w14:textId="7D8DEEE4" w:rsidR="00C92831" w:rsidRPr="00D40497" w:rsidRDefault="00C92831" w:rsidP="00C92831">
            <w:pPr>
              <w:rPr>
                <w:sz w:val="22"/>
                <w:szCs w:val="22"/>
              </w:rPr>
            </w:pPr>
            <w:r w:rsidRPr="00D40497">
              <w:rPr>
                <w:sz w:val="22"/>
                <w:szCs w:val="22"/>
              </w:rPr>
              <w:t>Gavin Hodge</w:t>
            </w:r>
          </w:p>
        </w:tc>
        <w:tc>
          <w:tcPr>
            <w:tcW w:w="2976" w:type="dxa"/>
          </w:tcPr>
          <w:p w14:paraId="4F0FBFEB" w14:textId="0E8367AF" w:rsidR="00C92831" w:rsidRPr="00D40497" w:rsidRDefault="00C92831" w:rsidP="00C92831">
            <w:pPr>
              <w:rPr>
                <w:sz w:val="22"/>
                <w:szCs w:val="22"/>
              </w:rPr>
            </w:pPr>
            <w:r w:rsidRPr="00D40497">
              <w:rPr>
                <w:sz w:val="22"/>
                <w:szCs w:val="22"/>
              </w:rPr>
              <w:t>Project Manager (Programme) – NHS England</w:t>
            </w:r>
          </w:p>
        </w:tc>
        <w:tc>
          <w:tcPr>
            <w:tcW w:w="5245" w:type="dxa"/>
          </w:tcPr>
          <w:p w14:paraId="6EB51D3E" w14:textId="7E3152AC" w:rsidR="00C92831" w:rsidRPr="00D40497" w:rsidRDefault="00C92831" w:rsidP="00C92831">
            <w:pPr>
              <w:rPr>
                <w:sz w:val="22"/>
                <w:szCs w:val="22"/>
              </w:rPr>
            </w:pPr>
            <w:r w:rsidRPr="00D40497">
              <w:rPr>
                <w:sz w:val="22"/>
                <w:szCs w:val="22"/>
              </w:rPr>
              <w:t>Supported safety documentation reviews, managed programme-level actions, and aligned technical delivery with safety milestones.</w:t>
            </w:r>
          </w:p>
        </w:tc>
      </w:tr>
      <w:tr w:rsidR="00C92831" w14:paraId="3A6201D6" w14:textId="7B881560" w:rsidTr="00650CE0">
        <w:trPr>
          <w:cantSplit/>
        </w:trPr>
        <w:tc>
          <w:tcPr>
            <w:tcW w:w="1555" w:type="dxa"/>
          </w:tcPr>
          <w:p w14:paraId="7032EF31" w14:textId="453D8632" w:rsidR="00C92831" w:rsidRPr="00D40497" w:rsidRDefault="00C92831" w:rsidP="00C92831">
            <w:pPr>
              <w:rPr>
                <w:sz w:val="22"/>
                <w:szCs w:val="22"/>
              </w:rPr>
            </w:pPr>
            <w:r w:rsidRPr="00D40497">
              <w:rPr>
                <w:sz w:val="22"/>
                <w:szCs w:val="22"/>
              </w:rPr>
              <w:t>Ian Tomlinson</w:t>
            </w:r>
          </w:p>
        </w:tc>
        <w:tc>
          <w:tcPr>
            <w:tcW w:w="2976" w:type="dxa"/>
          </w:tcPr>
          <w:p w14:paraId="6D0F2C20" w14:textId="622D69CE" w:rsidR="00C92831" w:rsidRPr="00D40497" w:rsidRDefault="00C92831" w:rsidP="00C92831">
            <w:pPr>
              <w:rPr>
                <w:sz w:val="22"/>
                <w:szCs w:val="22"/>
              </w:rPr>
            </w:pPr>
            <w:r w:rsidRPr="00D40497">
              <w:rPr>
                <w:sz w:val="22"/>
                <w:szCs w:val="22"/>
              </w:rPr>
              <w:t>Clinical Safety Engineer – NHS England</w:t>
            </w:r>
          </w:p>
        </w:tc>
        <w:tc>
          <w:tcPr>
            <w:tcW w:w="5245" w:type="dxa"/>
          </w:tcPr>
          <w:p w14:paraId="2EA8FC96" w14:textId="6B051C8A" w:rsidR="00C92831" w:rsidRPr="00D40497" w:rsidRDefault="00C92831" w:rsidP="00C92831">
            <w:pPr>
              <w:rPr>
                <w:sz w:val="22"/>
                <w:szCs w:val="22"/>
              </w:rPr>
            </w:pPr>
            <w:r w:rsidRPr="00D40497">
              <w:rPr>
                <w:sz w:val="22"/>
                <w:szCs w:val="22"/>
              </w:rPr>
              <w:t>Reviewed hazard log, supported technical and clinical safety integration and alignment with the NHS CSMS.</w:t>
            </w:r>
          </w:p>
        </w:tc>
      </w:tr>
      <w:tr w:rsidR="00C92831" w14:paraId="272EDE9C" w14:textId="3B9D059B" w:rsidTr="00650CE0">
        <w:trPr>
          <w:cantSplit/>
        </w:trPr>
        <w:tc>
          <w:tcPr>
            <w:tcW w:w="1555" w:type="dxa"/>
          </w:tcPr>
          <w:p w14:paraId="2A1017AD" w14:textId="3E24C6EE" w:rsidR="00C92831" w:rsidRPr="00D40497" w:rsidRDefault="00C92831" w:rsidP="00C92831">
            <w:pPr>
              <w:rPr>
                <w:sz w:val="22"/>
                <w:szCs w:val="22"/>
              </w:rPr>
            </w:pPr>
            <w:r w:rsidRPr="00D40497">
              <w:rPr>
                <w:sz w:val="22"/>
                <w:szCs w:val="22"/>
              </w:rPr>
              <w:t>Stephen Fenn</w:t>
            </w:r>
          </w:p>
        </w:tc>
        <w:tc>
          <w:tcPr>
            <w:tcW w:w="2976" w:type="dxa"/>
          </w:tcPr>
          <w:p w14:paraId="46692150" w14:textId="0340FDC0" w:rsidR="00C92831" w:rsidRPr="00D40497" w:rsidRDefault="00C92831" w:rsidP="00C92831">
            <w:pPr>
              <w:rPr>
                <w:sz w:val="22"/>
                <w:szCs w:val="22"/>
              </w:rPr>
            </w:pPr>
            <w:r w:rsidRPr="00D40497">
              <w:rPr>
                <w:sz w:val="22"/>
                <w:szCs w:val="22"/>
              </w:rPr>
              <w:t>Clinical Risk SME – NHS Digital Imaging Programme</w:t>
            </w:r>
          </w:p>
        </w:tc>
        <w:tc>
          <w:tcPr>
            <w:tcW w:w="5245" w:type="dxa"/>
          </w:tcPr>
          <w:p w14:paraId="11ECDE55" w14:textId="7E258AC3" w:rsidR="00C92831" w:rsidRPr="00D40497" w:rsidRDefault="00C92831" w:rsidP="00C92831">
            <w:pPr>
              <w:rPr>
                <w:sz w:val="22"/>
                <w:szCs w:val="22"/>
              </w:rPr>
            </w:pPr>
            <w:r w:rsidRPr="00D40497">
              <w:rPr>
                <w:sz w:val="22"/>
                <w:szCs w:val="22"/>
              </w:rPr>
              <w:t>Contributed subject matter expertise in clinical risk management and alignment with national imaging safety standards.</w:t>
            </w:r>
          </w:p>
        </w:tc>
      </w:tr>
      <w:tr w:rsidR="00C92831" w14:paraId="66D1BC64" w14:textId="3D04E2E4" w:rsidTr="00650CE0">
        <w:trPr>
          <w:cantSplit/>
        </w:trPr>
        <w:tc>
          <w:tcPr>
            <w:tcW w:w="1555" w:type="dxa"/>
          </w:tcPr>
          <w:p w14:paraId="7B8D2BAE" w14:textId="01494458" w:rsidR="00C92831" w:rsidRPr="00D40497" w:rsidRDefault="00C92831" w:rsidP="00C92831">
            <w:pPr>
              <w:rPr>
                <w:sz w:val="22"/>
                <w:szCs w:val="22"/>
              </w:rPr>
            </w:pPr>
            <w:r w:rsidRPr="00D40497">
              <w:rPr>
                <w:sz w:val="22"/>
                <w:szCs w:val="22"/>
              </w:rPr>
              <w:lastRenderedPageBreak/>
              <w:t>Lee Sydenham</w:t>
            </w:r>
          </w:p>
        </w:tc>
        <w:tc>
          <w:tcPr>
            <w:tcW w:w="2976" w:type="dxa"/>
          </w:tcPr>
          <w:p w14:paraId="71D1A5BF" w14:textId="6F53502A" w:rsidR="00C92831" w:rsidRPr="00D40497" w:rsidRDefault="00C92831" w:rsidP="00C92831">
            <w:pPr>
              <w:rPr>
                <w:sz w:val="22"/>
                <w:szCs w:val="22"/>
              </w:rPr>
            </w:pPr>
            <w:r w:rsidRPr="00D40497">
              <w:rPr>
                <w:sz w:val="22"/>
                <w:szCs w:val="22"/>
              </w:rPr>
              <w:t>Clinical Safety Representative – Portsmouth Hospitals University NHS Trust</w:t>
            </w:r>
          </w:p>
        </w:tc>
        <w:tc>
          <w:tcPr>
            <w:tcW w:w="5245" w:type="dxa"/>
          </w:tcPr>
          <w:p w14:paraId="7F811E24" w14:textId="527AB8EA" w:rsidR="00C92831" w:rsidRPr="00D40497" w:rsidRDefault="00C92831" w:rsidP="00C92831">
            <w:pPr>
              <w:rPr>
                <w:sz w:val="22"/>
                <w:szCs w:val="22"/>
              </w:rPr>
            </w:pPr>
            <w:r w:rsidRPr="00D40497">
              <w:rPr>
                <w:sz w:val="22"/>
                <w:szCs w:val="22"/>
              </w:rPr>
              <w:t>Provided frontline clinical input into hazard evaluation and validation of workflow risks.</w:t>
            </w:r>
          </w:p>
        </w:tc>
      </w:tr>
      <w:tr w:rsidR="00C92831" w14:paraId="4ECA22C5" w14:textId="67861B64" w:rsidTr="00650CE0">
        <w:trPr>
          <w:cantSplit/>
        </w:trPr>
        <w:tc>
          <w:tcPr>
            <w:tcW w:w="1555" w:type="dxa"/>
          </w:tcPr>
          <w:p w14:paraId="6DA89262" w14:textId="4914D2F5" w:rsidR="00C92831" w:rsidRPr="00D40497" w:rsidRDefault="00C92831" w:rsidP="00C92831">
            <w:pPr>
              <w:rPr>
                <w:sz w:val="22"/>
                <w:szCs w:val="22"/>
              </w:rPr>
            </w:pPr>
            <w:r w:rsidRPr="00D40497">
              <w:rPr>
                <w:sz w:val="22"/>
                <w:szCs w:val="22"/>
              </w:rPr>
              <w:t>Gareth Edwards</w:t>
            </w:r>
          </w:p>
        </w:tc>
        <w:tc>
          <w:tcPr>
            <w:tcW w:w="2976" w:type="dxa"/>
          </w:tcPr>
          <w:p w14:paraId="7704BD2C" w14:textId="6A375BE9" w:rsidR="00C92831" w:rsidRPr="00D40497" w:rsidRDefault="00C92831" w:rsidP="00C92831">
            <w:pPr>
              <w:rPr>
                <w:sz w:val="22"/>
                <w:szCs w:val="22"/>
              </w:rPr>
            </w:pPr>
            <w:r w:rsidRPr="00D40497">
              <w:rPr>
                <w:sz w:val="22"/>
                <w:szCs w:val="22"/>
              </w:rPr>
              <w:t>Clinical Lead, Digital Operations &amp; System Support – NHS England</w:t>
            </w:r>
          </w:p>
        </w:tc>
        <w:tc>
          <w:tcPr>
            <w:tcW w:w="5245" w:type="dxa"/>
          </w:tcPr>
          <w:p w14:paraId="1ED5ABC3" w14:textId="05C0ED70" w:rsidR="00C92831" w:rsidRPr="00D40497" w:rsidRDefault="00C92831" w:rsidP="00C92831">
            <w:pPr>
              <w:rPr>
                <w:sz w:val="22"/>
                <w:szCs w:val="22"/>
              </w:rPr>
            </w:pPr>
            <w:r w:rsidRPr="00D40497">
              <w:rPr>
                <w:sz w:val="22"/>
                <w:szCs w:val="22"/>
              </w:rPr>
              <w:t>Provided subject matter expertise on clinical workflow integration and digital operations safety.</w:t>
            </w:r>
          </w:p>
        </w:tc>
      </w:tr>
      <w:tr w:rsidR="00C92831" w14:paraId="6D102228" w14:textId="220F9F49" w:rsidTr="00650CE0">
        <w:trPr>
          <w:cantSplit/>
        </w:trPr>
        <w:tc>
          <w:tcPr>
            <w:tcW w:w="1555" w:type="dxa"/>
          </w:tcPr>
          <w:p w14:paraId="4A9807AF" w14:textId="55619131" w:rsidR="00C92831" w:rsidRPr="00D40497" w:rsidRDefault="00C92831" w:rsidP="00C92831">
            <w:pPr>
              <w:rPr>
                <w:sz w:val="22"/>
                <w:szCs w:val="22"/>
              </w:rPr>
            </w:pPr>
            <w:r w:rsidRPr="00D40497">
              <w:rPr>
                <w:sz w:val="22"/>
                <w:szCs w:val="22"/>
              </w:rPr>
              <w:t>Stephen Hogben</w:t>
            </w:r>
          </w:p>
        </w:tc>
        <w:tc>
          <w:tcPr>
            <w:tcW w:w="2976" w:type="dxa"/>
          </w:tcPr>
          <w:p w14:paraId="456B9785" w14:textId="68CDE5C4" w:rsidR="00C92831" w:rsidRPr="00D40497" w:rsidRDefault="00C92831" w:rsidP="00C92831">
            <w:pPr>
              <w:rPr>
                <w:sz w:val="22"/>
                <w:szCs w:val="22"/>
              </w:rPr>
            </w:pPr>
            <w:r w:rsidRPr="00D40497">
              <w:rPr>
                <w:sz w:val="22"/>
                <w:szCs w:val="22"/>
              </w:rPr>
              <w:t>Programme Representative – NHS England</w:t>
            </w:r>
          </w:p>
        </w:tc>
        <w:tc>
          <w:tcPr>
            <w:tcW w:w="5245" w:type="dxa"/>
          </w:tcPr>
          <w:p w14:paraId="4C5E7C46" w14:textId="786F5AAC" w:rsidR="00C92831" w:rsidRPr="00D40497" w:rsidRDefault="00C92831" w:rsidP="00C92831">
            <w:pPr>
              <w:rPr>
                <w:sz w:val="22"/>
                <w:szCs w:val="22"/>
              </w:rPr>
            </w:pPr>
            <w:r w:rsidRPr="00D40497">
              <w:rPr>
                <w:sz w:val="22"/>
                <w:szCs w:val="22"/>
              </w:rPr>
              <w:t>Reviewed clinical safety documentation and participated in governance approvals.</w:t>
            </w:r>
          </w:p>
        </w:tc>
      </w:tr>
      <w:tr w:rsidR="00C92831" w14:paraId="52CF972C" w14:textId="1552702B" w:rsidTr="00650CE0">
        <w:trPr>
          <w:cantSplit/>
        </w:trPr>
        <w:tc>
          <w:tcPr>
            <w:tcW w:w="1555" w:type="dxa"/>
          </w:tcPr>
          <w:p w14:paraId="1BA68175" w14:textId="62F6656E" w:rsidR="00C92831" w:rsidRPr="00D40497" w:rsidRDefault="00C92831" w:rsidP="00C92831">
            <w:pPr>
              <w:rPr>
                <w:sz w:val="22"/>
                <w:szCs w:val="22"/>
              </w:rPr>
            </w:pPr>
            <w:r w:rsidRPr="00D40497">
              <w:rPr>
                <w:sz w:val="22"/>
                <w:szCs w:val="22"/>
              </w:rPr>
              <w:t>James Alcock</w:t>
            </w:r>
          </w:p>
        </w:tc>
        <w:tc>
          <w:tcPr>
            <w:tcW w:w="2976" w:type="dxa"/>
          </w:tcPr>
          <w:p w14:paraId="5DC1226B" w14:textId="3DF46E2A" w:rsidR="00C92831" w:rsidRPr="00D40497" w:rsidRDefault="00C92831" w:rsidP="00C92831">
            <w:pPr>
              <w:rPr>
                <w:sz w:val="22"/>
                <w:szCs w:val="22"/>
              </w:rPr>
            </w:pPr>
            <w:r w:rsidRPr="00D40497">
              <w:rPr>
                <w:sz w:val="22"/>
                <w:szCs w:val="22"/>
              </w:rPr>
              <w:t>Developer (Omega Squad) – NHS England</w:t>
            </w:r>
          </w:p>
        </w:tc>
        <w:tc>
          <w:tcPr>
            <w:tcW w:w="5245" w:type="dxa"/>
          </w:tcPr>
          <w:p w14:paraId="16A5EAAE" w14:textId="194766B6" w:rsidR="00C92831" w:rsidRPr="00D40497" w:rsidRDefault="00C92831" w:rsidP="00C92831">
            <w:pPr>
              <w:rPr>
                <w:sz w:val="22"/>
                <w:szCs w:val="22"/>
              </w:rPr>
            </w:pPr>
            <w:r w:rsidRPr="00D40497">
              <w:rPr>
                <w:sz w:val="22"/>
                <w:szCs w:val="22"/>
              </w:rPr>
              <w:t>Contributed technical input on system architecture and error-handling mitigation controls.</w:t>
            </w:r>
          </w:p>
        </w:tc>
      </w:tr>
      <w:tr w:rsidR="00C92831" w14:paraId="462B4BC2" w14:textId="5B5B278F" w:rsidTr="00650CE0">
        <w:trPr>
          <w:cantSplit/>
        </w:trPr>
        <w:tc>
          <w:tcPr>
            <w:tcW w:w="1555" w:type="dxa"/>
          </w:tcPr>
          <w:p w14:paraId="72090D49" w14:textId="633C10F5" w:rsidR="00C92831" w:rsidRPr="00D40497" w:rsidRDefault="00C92831" w:rsidP="00C92831">
            <w:pPr>
              <w:rPr>
                <w:sz w:val="22"/>
                <w:szCs w:val="22"/>
              </w:rPr>
            </w:pPr>
            <w:r w:rsidRPr="00D40497">
              <w:rPr>
                <w:sz w:val="22"/>
                <w:szCs w:val="22"/>
              </w:rPr>
              <w:t>Joe Green</w:t>
            </w:r>
          </w:p>
        </w:tc>
        <w:tc>
          <w:tcPr>
            <w:tcW w:w="2976" w:type="dxa"/>
          </w:tcPr>
          <w:p w14:paraId="604F956A" w14:textId="6533128E" w:rsidR="00C92831" w:rsidRPr="00D40497" w:rsidRDefault="00C92831" w:rsidP="00C92831">
            <w:pPr>
              <w:rPr>
                <w:sz w:val="22"/>
                <w:szCs w:val="22"/>
              </w:rPr>
            </w:pPr>
            <w:r w:rsidRPr="00D40497">
              <w:rPr>
                <w:sz w:val="22"/>
                <w:szCs w:val="22"/>
              </w:rPr>
              <w:t>Technical Integration Specialist – NHS England</w:t>
            </w:r>
          </w:p>
        </w:tc>
        <w:tc>
          <w:tcPr>
            <w:tcW w:w="5245" w:type="dxa"/>
          </w:tcPr>
          <w:p w14:paraId="53098140" w14:textId="2AD34AEB" w:rsidR="00C92831" w:rsidRPr="00D40497" w:rsidRDefault="00C92831" w:rsidP="00C92831">
            <w:pPr>
              <w:rPr>
                <w:sz w:val="22"/>
                <w:szCs w:val="22"/>
              </w:rPr>
            </w:pPr>
            <w:r w:rsidRPr="00D40497">
              <w:rPr>
                <w:sz w:val="22"/>
                <w:szCs w:val="22"/>
              </w:rPr>
              <w:t>Contributed to technical hazard analysis and configuration control evaluation.</w:t>
            </w:r>
          </w:p>
        </w:tc>
      </w:tr>
      <w:tr w:rsidR="00C92831" w14:paraId="35919261" w14:textId="6810C0AD" w:rsidTr="00650CE0">
        <w:trPr>
          <w:cantSplit/>
        </w:trPr>
        <w:tc>
          <w:tcPr>
            <w:tcW w:w="1555" w:type="dxa"/>
          </w:tcPr>
          <w:p w14:paraId="7471556E" w14:textId="06EDD2EB" w:rsidR="00C92831" w:rsidRPr="00D40497" w:rsidRDefault="00C92831" w:rsidP="00C92831">
            <w:pPr>
              <w:rPr>
                <w:sz w:val="22"/>
                <w:szCs w:val="22"/>
              </w:rPr>
            </w:pPr>
            <w:r w:rsidRPr="00D40497">
              <w:rPr>
                <w:sz w:val="22"/>
                <w:szCs w:val="22"/>
              </w:rPr>
              <w:t>Daisy Timms</w:t>
            </w:r>
          </w:p>
        </w:tc>
        <w:tc>
          <w:tcPr>
            <w:tcW w:w="2976" w:type="dxa"/>
          </w:tcPr>
          <w:p w14:paraId="3AE76182" w14:textId="735BAE7F" w:rsidR="00C92831" w:rsidRPr="00D40497" w:rsidRDefault="00C92831" w:rsidP="00C92831">
            <w:pPr>
              <w:rPr>
                <w:sz w:val="22"/>
                <w:szCs w:val="22"/>
              </w:rPr>
            </w:pPr>
            <w:r w:rsidRPr="00D40497">
              <w:rPr>
                <w:sz w:val="22"/>
                <w:szCs w:val="22"/>
              </w:rPr>
              <w:t>Engineer (Omega Squad) – NHS England</w:t>
            </w:r>
          </w:p>
        </w:tc>
        <w:tc>
          <w:tcPr>
            <w:tcW w:w="5245" w:type="dxa"/>
          </w:tcPr>
          <w:p w14:paraId="65BCA9D3" w14:textId="4EDC2469" w:rsidR="00C92831" w:rsidRPr="00D40497" w:rsidRDefault="00C92831" w:rsidP="00C92831">
            <w:pPr>
              <w:rPr>
                <w:sz w:val="22"/>
                <w:szCs w:val="22"/>
              </w:rPr>
            </w:pPr>
            <w:r w:rsidRPr="00D40497">
              <w:rPr>
                <w:sz w:val="22"/>
                <w:szCs w:val="22"/>
              </w:rPr>
              <w:t>Provided technical detail for hazard causes and system interactions during workshops.</w:t>
            </w:r>
          </w:p>
        </w:tc>
      </w:tr>
      <w:tr w:rsidR="00C92831" w14:paraId="16DED905" w14:textId="69F44C22" w:rsidTr="00650CE0">
        <w:trPr>
          <w:cantSplit/>
        </w:trPr>
        <w:tc>
          <w:tcPr>
            <w:tcW w:w="1555" w:type="dxa"/>
          </w:tcPr>
          <w:p w14:paraId="16221201" w14:textId="6E6DBF7C" w:rsidR="00C92831" w:rsidRPr="00D40497" w:rsidRDefault="00C92831" w:rsidP="00C92831">
            <w:pPr>
              <w:rPr>
                <w:sz w:val="22"/>
                <w:szCs w:val="22"/>
              </w:rPr>
            </w:pPr>
            <w:r w:rsidRPr="00D40497">
              <w:rPr>
                <w:sz w:val="22"/>
                <w:szCs w:val="22"/>
              </w:rPr>
              <w:t>Adebayo Saliu</w:t>
            </w:r>
          </w:p>
        </w:tc>
        <w:tc>
          <w:tcPr>
            <w:tcW w:w="2976" w:type="dxa"/>
          </w:tcPr>
          <w:p w14:paraId="34197200" w14:textId="1F4220F8" w:rsidR="00C92831" w:rsidRPr="00D40497" w:rsidRDefault="00C92831" w:rsidP="00C92831">
            <w:pPr>
              <w:rPr>
                <w:sz w:val="22"/>
                <w:szCs w:val="22"/>
              </w:rPr>
            </w:pPr>
            <w:r w:rsidRPr="00D40497">
              <w:rPr>
                <w:sz w:val="22"/>
                <w:szCs w:val="22"/>
              </w:rPr>
              <w:t>Business Analyst – NHS England</w:t>
            </w:r>
          </w:p>
        </w:tc>
        <w:tc>
          <w:tcPr>
            <w:tcW w:w="5245" w:type="dxa"/>
          </w:tcPr>
          <w:p w14:paraId="5C19A471" w14:textId="48633796" w:rsidR="00C92831" w:rsidRPr="00D40497" w:rsidRDefault="00C92831" w:rsidP="00C92831">
            <w:pPr>
              <w:rPr>
                <w:sz w:val="22"/>
                <w:szCs w:val="22"/>
              </w:rPr>
            </w:pPr>
            <w:r w:rsidRPr="00D40497">
              <w:rPr>
                <w:sz w:val="22"/>
                <w:szCs w:val="22"/>
              </w:rPr>
              <w:t>Supported technical hazard identification and documentation reviews during safety assessments.</w:t>
            </w:r>
          </w:p>
        </w:tc>
      </w:tr>
      <w:tr w:rsidR="00C92831" w14:paraId="7B7E492D" w14:textId="6BAF56C7" w:rsidTr="00650CE0">
        <w:trPr>
          <w:cantSplit/>
        </w:trPr>
        <w:tc>
          <w:tcPr>
            <w:tcW w:w="1555" w:type="dxa"/>
          </w:tcPr>
          <w:p w14:paraId="1D3A8B18" w14:textId="2158563A" w:rsidR="00C92831" w:rsidRPr="00D40497" w:rsidRDefault="00C92831" w:rsidP="00C92831">
            <w:pPr>
              <w:rPr>
                <w:sz w:val="22"/>
                <w:szCs w:val="22"/>
              </w:rPr>
            </w:pPr>
            <w:r w:rsidRPr="00D40497">
              <w:rPr>
                <w:sz w:val="22"/>
                <w:szCs w:val="22"/>
              </w:rPr>
              <w:t>Clare Cassidy</w:t>
            </w:r>
          </w:p>
        </w:tc>
        <w:tc>
          <w:tcPr>
            <w:tcW w:w="2976" w:type="dxa"/>
          </w:tcPr>
          <w:p w14:paraId="69F6E950" w14:textId="46F7940C" w:rsidR="00C92831" w:rsidRPr="00D40497" w:rsidRDefault="00C92831" w:rsidP="00C92831">
            <w:pPr>
              <w:rPr>
                <w:sz w:val="22"/>
                <w:szCs w:val="22"/>
              </w:rPr>
            </w:pPr>
            <w:r w:rsidRPr="00D40497">
              <w:rPr>
                <w:sz w:val="22"/>
                <w:szCs w:val="22"/>
              </w:rPr>
              <w:t>Project Delivery – NHS England</w:t>
            </w:r>
          </w:p>
        </w:tc>
        <w:tc>
          <w:tcPr>
            <w:tcW w:w="5245" w:type="dxa"/>
          </w:tcPr>
          <w:p w14:paraId="40A0F85E" w14:textId="095D02EB" w:rsidR="00C92831" w:rsidRPr="00D40497" w:rsidRDefault="00C92831" w:rsidP="00C92831">
            <w:pPr>
              <w:rPr>
                <w:sz w:val="22"/>
                <w:szCs w:val="22"/>
              </w:rPr>
            </w:pPr>
            <w:r w:rsidRPr="00D40497">
              <w:rPr>
                <w:sz w:val="22"/>
                <w:szCs w:val="22"/>
              </w:rPr>
              <w:t>Attended hazard workshop, contributed to review of governance and safety assurance processes.</w:t>
            </w:r>
          </w:p>
        </w:tc>
      </w:tr>
      <w:tr w:rsidR="00C92831" w14:paraId="250280BA" w14:textId="432C4EAE" w:rsidTr="00650CE0">
        <w:trPr>
          <w:cantSplit/>
        </w:trPr>
        <w:tc>
          <w:tcPr>
            <w:tcW w:w="1555" w:type="dxa"/>
          </w:tcPr>
          <w:p w14:paraId="28D5CE92" w14:textId="5045AC0A" w:rsidR="00C92831" w:rsidRPr="00D40497" w:rsidRDefault="00C92831" w:rsidP="00C92831">
            <w:pPr>
              <w:rPr>
                <w:sz w:val="22"/>
                <w:szCs w:val="22"/>
              </w:rPr>
            </w:pPr>
            <w:r w:rsidRPr="00D40497">
              <w:rPr>
                <w:sz w:val="22"/>
                <w:szCs w:val="22"/>
              </w:rPr>
              <w:t>David Fletcher</w:t>
            </w:r>
          </w:p>
        </w:tc>
        <w:tc>
          <w:tcPr>
            <w:tcW w:w="2976" w:type="dxa"/>
          </w:tcPr>
          <w:p w14:paraId="2D627814" w14:textId="22F774EA" w:rsidR="00C92831" w:rsidRPr="00D40497" w:rsidRDefault="00C92831" w:rsidP="00C92831">
            <w:pPr>
              <w:rPr>
                <w:sz w:val="22"/>
                <w:szCs w:val="22"/>
              </w:rPr>
            </w:pPr>
            <w:r w:rsidRPr="00D40497">
              <w:rPr>
                <w:sz w:val="22"/>
                <w:szCs w:val="22"/>
              </w:rPr>
              <w:t>Programme Delivery / Technical Assurance – NHS England</w:t>
            </w:r>
          </w:p>
        </w:tc>
        <w:tc>
          <w:tcPr>
            <w:tcW w:w="5245" w:type="dxa"/>
          </w:tcPr>
          <w:p w14:paraId="15D34AC5" w14:textId="17CC0F4F" w:rsidR="00C92831" w:rsidRPr="00D40497" w:rsidRDefault="00C92831" w:rsidP="00C92831">
            <w:pPr>
              <w:rPr>
                <w:sz w:val="22"/>
                <w:szCs w:val="22"/>
              </w:rPr>
            </w:pPr>
            <w:r w:rsidRPr="00D40497">
              <w:rPr>
                <w:sz w:val="22"/>
                <w:szCs w:val="22"/>
              </w:rPr>
              <w:t>Participated in initial hazard workshop and technical risk validation.</w:t>
            </w:r>
          </w:p>
        </w:tc>
      </w:tr>
      <w:tr w:rsidR="00C92831" w14:paraId="74682598" w14:textId="031AF7BE" w:rsidTr="00650CE0">
        <w:trPr>
          <w:cantSplit/>
        </w:trPr>
        <w:tc>
          <w:tcPr>
            <w:tcW w:w="1555" w:type="dxa"/>
          </w:tcPr>
          <w:p w14:paraId="06D0F92D" w14:textId="0A73F649" w:rsidR="00C92831" w:rsidRPr="00D40497" w:rsidRDefault="00C92831" w:rsidP="00C92831">
            <w:pPr>
              <w:rPr>
                <w:sz w:val="22"/>
                <w:szCs w:val="22"/>
              </w:rPr>
            </w:pPr>
            <w:r w:rsidRPr="00D40497">
              <w:rPr>
                <w:sz w:val="22"/>
                <w:szCs w:val="22"/>
              </w:rPr>
              <w:t>Regional Imaging Network Members</w:t>
            </w:r>
          </w:p>
        </w:tc>
        <w:tc>
          <w:tcPr>
            <w:tcW w:w="2976" w:type="dxa"/>
          </w:tcPr>
          <w:p w14:paraId="19F3F73C" w14:textId="3C534FB7" w:rsidR="00C92831" w:rsidRPr="00D40497" w:rsidRDefault="00C92831" w:rsidP="00C92831">
            <w:pPr>
              <w:rPr>
                <w:sz w:val="22"/>
                <w:szCs w:val="22"/>
              </w:rPr>
            </w:pPr>
            <w:r w:rsidRPr="00D40497">
              <w:rPr>
                <w:sz w:val="22"/>
                <w:szCs w:val="22"/>
              </w:rPr>
              <w:t xml:space="preserve">Clinical and Technical Representatives – Various NHS </w:t>
            </w:r>
            <w:r w:rsidR="000B4F22">
              <w:rPr>
                <w:sz w:val="22"/>
                <w:szCs w:val="22"/>
              </w:rPr>
              <w:t>Providers / organisations</w:t>
            </w:r>
            <w:r w:rsidRPr="00D40497">
              <w:rPr>
                <w:sz w:val="22"/>
                <w:szCs w:val="22"/>
              </w:rPr>
              <w:t xml:space="preserve"> (e.g. Dorset, SWASH, Barnsley, NW London)</w:t>
            </w:r>
          </w:p>
        </w:tc>
        <w:tc>
          <w:tcPr>
            <w:tcW w:w="5245" w:type="dxa"/>
          </w:tcPr>
          <w:p w14:paraId="3C9EEE51" w14:textId="40E682D3" w:rsidR="00C92831" w:rsidRPr="00D40497" w:rsidRDefault="00C92831" w:rsidP="00C92831">
            <w:pPr>
              <w:rPr>
                <w:sz w:val="22"/>
                <w:szCs w:val="22"/>
              </w:rPr>
            </w:pPr>
            <w:r w:rsidRPr="00D40497">
              <w:rPr>
                <w:sz w:val="22"/>
                <w:szCs w:val="22"/>
              </w:rPr>
              <w:t>Offered regional clinical workflow insights and reviewed hazard relevance for deployment contexts.</w:t>
            </w:r>
          </w:p>
        </w:tc>
      </w:tr>
    </w:tbl>
    <w:p w14:paraId="2D9A3710" w14:textId="77777777" w:rsidR="007F6520" w:rsidRPr="007F6520" w:rsidRDefault="007F6520" w:rsidP="007F6520">
      <w:pPr>
        <w:rPr>
          <w:lang w:eastAsia="en-GB"/>
        </w:rPr>
      </w:pPr>
    </w:p>
    <w:p w14:paraId="7E5F3370" w14:textId="5C0C6479" w:rsidR="00BE235D" w:rsidRPr="00BD7FB4" w:rsidRDefault="00BE235D" w:rsidP="00BE235D">
      <w:pPr>
        <w:pStyle w:val="Caption"/>
        <w:keepNext/>
        <w:jc w:val="center"/>
      </w:pPr>
      <w:bookmarkStart w:id="31" w:name="_Toc214376928"/>
      <w:r w:rsidRPr="00BD7FB4">
        <w:t xml:space="preserve">Table </w:t>
      </w:r>
      <w:r>
        <w:fldChar w:fldCharType="begin"/>
      </w:r>
      <w:r>
        <w:instrText>SEQ Table \* ARABIC</w:instrText>
      </w:r>
      <w:r>
        <w:fldChar w:fldCharType="separate"/>
      </w:r>
      <w:r w:rsidR="002054DF">
        <w:rPr>
          <w:noProof/>
        </w:rPr>
        <w:t>2</w:t>
      </w:r>
      <w:r>
        <w:fldChar w:fldCharType="end"/>
      </w:r>
      <w:r w:rsidRPr="00BD7FB4">
        <w:t xml:space="preserve"> - Clinical Safety Roles and Responsibilities</w:t>
      </w:r>
      <w:bookmarkEnd w:id="31"/>
    </w:p>
    <w:p w14:paraId="4BAD2518" w14:textId="542FFD04" w:rsidR="00554389" w:rsidRPr="00BD7FB4" w:rsidRDefault="004C05FA" w:rsidP="00B82077">
      <w:r>
        <w:t>T</w:t>
      </w:r>
      <w:r w:rsidR="00554389" w:rsidRPr="00395F45">
        <w:t xml:space="preserve">he CSCR, and Product </w:t>
      </w:r>
      <w:r w:rsidR="00E67785" w:rsidRPr="00395F45">
        <w:t>H</w:t>
      </w:r>
      <w:r w:rsidR="000B2E53" w:rsidRPr="00395F45">
        <w:t>azard Log</w:t>
      </w:r>
      <w:r w:rsidR="00554389" w:rsidRPr="00395F45">
        <w:t xml:space="preserve"> are completed by clinical safety experts engaged with </w:t>
      </w:r>
      <w:r w:rsidR="001A7E4C">
        <w:t xml:space="preserve">NHS </w:t>
      </w:r>
      <w:r w:rsidR="00DA1B68">
        <w:t>NIR project team</w:t>
      </w:r>
      <w:r w:rsidR="00554389" w:rsidRPr="00395F45">
        <w:t xml:space="preserve"> and support the following:</w:t>
      </w:r>
    </w:p>
    <w:p w14:paraId="6B44F0B5" w14:textId="77777777" w:rsidR="00362201" w:rsidRPr="00B82077" w:rsidRDefault="00362201" w:rsidP="00B82077">
      <w:pPr>
        <w:pStyle w:val="ListParagraph"/>
        <w:numPr>
          <w:ilvl w:val="0"/>
          <w:numId w:val="57"/>
        </w:numPr>
        <w:rPr>
          <w:rFonts w:cstheme="minorHAnsi"/>
        </w:rPr>
      </w:pPr>
      <w:r w:rsidRPr="00B82077">
        <w:rPr>
          <w:rFonts w:cstheme="minorHAnsi"/>
        </w:rPr>
        <w:t>Risk Analysis</w:t>
      </w:r>
    </w:p>
    <w:p w14:paraId="4ED336DB" w14:textId="77777777" w:rsidR="00362201" w:rsidRPr="00B82077" w:rsidRDefault="00362201" w:rsidP="00B82077">
      <w:pPr>
        <w:pStyle w:val="ListParagraph"/>
        <w:numPr>
          <w:ilvl w:val="0"/>
          <w:numId w:val="57"/>
        </w:numPr>
        <w:rPr>
          <w:rFonts w:cstheme="minorHAnsi"/>
        </w:rPr>
      </w:pPr>
      <w:r w:rsidRPr="00B82077">
        <w:rPr>
          <w:rFonts w:cstheme="minorHAnsi"/>
        </w:rPr>
        <w:t>Scope Definition</w:t>
      </w:r>
    </w:p>
    <w:p w14:paraId="17EC4701" w14:textId="77777777" w:rsidR="00362201" w:rsidRPr="00B82077" w:rsidRDefault="00362201" w:rsidP="00B82077">
      <w:pPr>
        <w:pStyle w:val="ListParagraph"/>
        <w:numPr>
          <w:ilvl w:val="0"/>
          <w:numId w:val="57"/>
        </w:numPr>
        <w:rPr>
          <w:rFonts w:cstheme="minorHAnsi"/>
        </w:rPr>
      </w:pPr>
      <w:r w:rsidRPr="00B82077">
        <w:rPr>
          <w:rFonts w:cstheme="minorHAnsi"/>
        </w:rPr>
        <w:t>Clinical Hazard Identification</w:t>
      </w:r>
    </w:p>
    <w:p w14:paraId="5E6CA3DD" w14:textId="77777777" w:rsidR="00362201" w:rsidRPr="00B82077" w:rsidRDefault="00362201" w:rsidP="00B82077">
      <w:pPr>
        <w:pStyle w:val="ListParagraph"/>
        <w:numPr>
          <w:ilvl w:val="0"/>
          <w:numId w:val="57"/>
        </w:numPr>
        <w:rPr>
          <w:rFonts w:cstheme="minorHAnsi"/>
        </w:rPr>
      </w:pPr>
      <w:r w:rsidRPr="00B82077">
        <w:rPr>
          <w:rFonts w:cstheme="minorHAnsi"/>
        </w:rPr>
        <w:t>Clinical Risk Estimation</w:t>
      </w:r>
    </w:p>
    <w:p w14:paraId="08D73F76" w14:textId="77777777" w:rsidR="00362201" w:rsidRPr="00B82077" w:rsidRDefault="00362201" w:rsidP="00B82077">
      <w:pPr>
        <w:pStyle w:val="ListParagraph"/>
        <w:numPr>
          <w:ilvl w:val="0"/>
          <w:numId w:val="57"/>
        </w:numPr>
        <w:rPr>
          <w:rFonts w:cstheme="minorHAnsi"/>
        </w:rPr>
      </w:pPr>
      <w:r w:rsidRPr="00B82077">
        <w:rPr>
          <w:rFonts w:cstheme="minorHAnsi"/>
        </w:rPr>
        <w:t>Control Option Analysis</w:t>
      </w:r>
    </w:p>
    <w:p w14:paraId="44AA541B" w14:textId="77777777" w:rsidR="00362201" w:rsidRPr="00B82077" w:rsidRDefault="00362201" w:rsidP="00B82077">
      <w:pPr>
        <w:pStyle w:val="ListParagraph"/>
        <w:numPr>
          <w:ilvl w:val="0"/>
          <w:numId w:val="57"/>
        </w:numPr>
        <w:rPr>
          <w:rFonts w:cstheme="minorHAnsi"/>
        </w:rPr>
      </w:pPr>
      <w:r w:rsidRPr="00B82077">
        <w:rPr>
          <w:rFonts w:cstheme="minorHAnsi"/>
        </w:rPr>
        <w:t>Clinical Risk Benefit Analysis</w:t>
      </w:r>
    </w:p>
    <w:p w14:paraId="5569592A" w14:textId="77777777" w:rsidR="00362201" w:rsidRPr="00B82077" w:rsidRDefault="00362201" w:rsidP="00B82077">
      <w:pPr>
        <w:pStyle w:val="ListParagraph"/>
        <w:numPr>
          <w:ilvl w:val="0"/>
          <w:numId w:val="57"/>
        </w:numPr>
        <w:rPr>
          <w:rFonts w:cstheme="minorHAnsi"/>
        </w:rPr>
      </w:pPr>
      <w:r w:rsidRPr="00B82077">
        <w:rPr>
          <w:rFonts w:cstheme="minorHAnsi"/>
        </w:rPr>
        <w:t>Control Measure Implementation</w:t>
      </w:r>
    </w:p>
    <w:p w14:paraId="458E736E" w14:textId="77777777" w:rsidR="00362201" w:rsidRPr="00B82077" w:rsidRDefault="00362201" w:rsidP="00B82077">
      <w:pPr>
        <w:pStyle w:val="ListParagraph"/>
        <w:numPr>
          <w:ilvl w:val="0"/>
          <w:numId w:val="57"/>
        </w:numPr>
        <w:rPr>
          <w:rFonts w:cstheme="minorHAnsi"/>
        </w:rPr>
      </w:pPr>
      <w:r w:rsidRPr="00B82077">
        <w:rPr>
          <w:rFonts w:cstheme="minorHAnsi"/>
        </w:rPr>
        <w:t>Completeness Evaluation</w:t>
      </w:r>
    </w:p>
    <w:p w14:paraId="647D7CE1" w14:textId="0E2F3963" w:rsidR="009C51D9" w:rsidRPr="00BD7FB4" w:rsidRDefault="00362201" w:rsidP="00B82077">
      <w:pPr>
        <w:rPr>
          <w:rFonts w:cstheme="minorHAnsi"/>
        </w:rPr>
      </w:pPr>
      <w:r w:rsidRPr="00BD7FB4">
        <w:rPr>
          <w:rFonts w:cstheme="minorHAnsi"/>
        </w:rPr>
        <w:lastRenderedPageBreak/>
        <w:t xml:space="preserve">This </w:t>
      </w:r>
      <w:r w:rsidR="00461777" w:rsidRPr="00BD7FB4">
        <w:rPr>
          <w:rFonts w:cstheme="minorHAnsi"/>
        </w:rPr>
        <w:t>CRM</w:t>
      </w:r>
      <w:r w:rsidRPr="00BD7FB4">
        <w:rPr>
          <w:rFonts w:cstheme="minorHAnsi"/>
        </w:rPr>
        <w:t xml:space="preserve"> process is applied throughout the delivery roadmap and lifecycle of the application.</w:t>
      </w:r>
      <w:r w:rsidR="00F53179">
        <w:rPr>
          <w:rFonts w:cstheme="minorHAnsi"/>
        </w:rPr>
        <w:t xml:space="preserve"> </w:t>
      </w:r>
      <w:r w:rsidR="009C51D9" w:rsidRPr="00BD7FB4">
        <w:rPr>
          <w:rFonts w:cstheme="minorHAnsi"/>
        </w:rPr>
        <w:t>The CRMS will be reviewed periodically to ensure that:   </w:t>
      </w:r>
    </w:p>
    <w:p w14:paraId="3D2CBCAC" w14:textId="7EB0538A" w:rsidR="009C51D9" w:rsidRPr="00B82077" w:rsidRDefault="009C51D9" w:rsidP="00B82077">
      <w:pPr>
        <w:pStyle w:val="ListParagraph"/>
        <w:numPr>
          <w:ilvl w:val="0"/>
          <w:numId w:val="58"/>
        </w:numPr>
        <w:rPr>
          <w:rFonts w:cstheme="minorHAnsi"/>
        </w:rPr>
      </w:pPr>
      <w:r w:rsidRPr="00B82077">
        <w:rPr>
          <w:rFonts w:cstheme="minorHAnsi"/>
        </w:rPr>
        <w:t xml:space="preserve">Changes in working practices are incorporated to reflect </w:t>
      </w:r>
      <w:r w:rsidR="00A9655D" w:rsidRPr="00B82077">
        <w:rPr>
          <w:rFonts w:cstheme="minorHAnsi"/>
        </w:rPr>
        <w:t xml:space="preserve">the </w:t>
      </w:r>
      <w:r w:rsidRPr="00B82077">
        <w:rPr>
          <w:rFonts w:cstheme="minorHAnsi"/>
        </w:rPr>
        <w:t>current </w:t>
      </w:r>
      <w:r w:rsidR="00317897" w:rsidRPr="00B82077">
        <w:rPr>
          <w:rFonts w:cstheme="minorHAnsi"/>
        </w:rPr>
        <w:t xml:space="preserve">clinical safety process and </w:t>
      </w:r>
      <w:r w:rsidRPr="00B82077">
        <w:rPr>
          <w:rFonts w:cstheme="minorHAnsi"/>
        </w:rPr>
        <w:t>practice</w:t>
      </w:r>
      <w:r w:rsidR="00317897" w:rsidRPr="00B82077">
        <w:rPr>
          <w:rFonts w:cstheme="minorHAnsi"/>
        </w:rPr>
        <w:t>.</w:t>
      </w:r>
      <w:r w:rsidRPr="00B82077">
        <w:rPr>
          <w:rFonts w:cstheme="minorHAnsi"/>
        </w:rPr>
        <w:t>   </w:t>
      </w:r>
    </w:p>
    <w:p w14:paraId="784EF2C4" w14:textId="03FD7C4F" w:rsidR="009C51D9" w:rsidRPr="00B82077" w:rsidRDefault="009C51D9" w:rsidP="00B82077">
      <w:pPr>
        <w:pStyle w:val="ListParagraph"/>
        <w:numPr>
          <w:ilvl w:val="0"/>
          <w:numId w:val="58"/>
        </w:numPr>
        <w:rPr>
          <w:rFonts w:cstheme="minorHAnsi"/>
        </w:rPr>
      </w:pPr>
      <w:r w:rsidRPr="00B82077">
        <w:rPr>
          <w:rFonts w:cstheme="minorHAnsi"/>
        </w:rPr>
        <w:t>Issues identified through an established internal audit programme are addressed</w:t>
      </w:r>
      <w:r w:rsidR="008522D0" w:rsidRPr="00B82077">
        <w:rPr>
          <w:rFonts w:cstheme="minorHAnsi"/>
        </w:rPr>
        <w:t>.</w:t>
      </w:r>
      <w:r w:rsidRPr="00B82077">
        <w:rPr>
          <w:rFonts w:cstheme="minorHAnsi"/>
        </w:rPr>
        <w:t> </w:t>
      </w:r>
    </w:p>
    <w:p w14:paraId="07C432B5" w14:textId="1B2DB25A" w:rsidR="009C51D9" w:rsidRPr="00BD7FB4" w:rsidRDefault="009C51D9" w:rsidP="00B82077">
      <w:pPr>
        <w:pStyle w:val="ListParagraph"/>
        <w:numPr>
          <w:ilvl w:val="0"/>
          <w:numId w:val="58"/>
        </w:numPr>
      </w:pPr>
      <w:r w:rsidRPr="69291472">
        <w:t xml:space="preserve">The safety approach continues to adhere to the requirements of </w:t>
      </w:r>
      <w:r w:rsidR="00A9655D">
        <w:t xml:space="preserve">the </w:t>
      </w:r>
      <w:r w:rsidRPr="69291472">
        <w:t>applicable N</w:t>
      </w:r>
      <w:r w:rsidR="00B22F40">
        <w:t>HS standard</w:t>
      </w:r>
      <w:r w:rsidR="006D2A8C">
        <w:t>s</w:t>
      </w:r>
      <w:r w:rsidR="00B22F40">
        <w:t>.</w:t>
      </w:r>
      <w:r w:rsidRPr="69291472">
        <w:t> </w:t>
      </w:r>
    </w:p>
    <w:p w14:paraId="0CD9F3A4" w14:textId="4A87391F" w:rsidR="009C51D9" w:rsidRDefault="00F2107D" w:rsidP="00B82077">
      <w:pPr>
        <w:pStyle w:val="ListParagraph"/>
        <w:numPr>
          <w:ilvl w:val="0"/>
          <w:numId w:val="58"/>
        </w:numPr>
        <w:rPr>
          <w:rFonts w:cstheme="minorHAnsi"/>
        </w:rPr>
      </w:pPr>
      <w:r w:rsidRPr="00B82077">
        <w:rPr>
          <w:rFonts w:cstheme="minorHAnsi"/>
        </w:rPr>
        <w:t>If changes to the solution are made, for example</w:t>
      </w:r>
      <w:r w:rsidR="00B55420" w:rsidRPr="00B82077">
        <w:rPr>
          <w:rFonts w:cstheme="minorHAnsi"/>
        </w:rPr>
        <w:t xml:space="preserve"> use of the predictive tool with different patient cohorts</w:t>
      </w:r>
      <w:r w:rsidR="00DD3EAE" w:rsidRPr="00B82077">
        <w:rPr>
          <w:rFonts w:cstheme="minorHAnsi"/>
        </w:rPr>
        <w:t>,</w:t>
      </w:r>
      <w:r w:rsidRPr="00B82077">
        <w:rPr>
          <w:rFonts w:cstheme="minorHAnsi"/>
        </w:rPr>
        <w:t xml:space="preserve"> </w:t>
      </w:r>
      <w:r w:rsidR="00DD3EAE" w:rsidRPr="00B82077">
        <w:rPr>
          <w:rFonts w:cstheme="minorHAnsi"/>
        </w:rPr>
        <w:t>the safety controls outlined in the safety case</w:t>
      </w:r>
      <w:r w:rsidR="009C51D9" w:rsidRPr="00B82077">
        <w:rPr>
          <w:rFonts w:cstheme="minorHAnsi"/>
        </w:rPr>
        <w:t xml:space="preserve"> continue to protect the safety of patients.   </w:t>
      </w:r>
    </w:p>
    <w:p w14:paraId="3DDAEABB" w14:textId="7438C7AC" w:rsidR="001E0AF6" w:rsidRPr="00B3622E" w:rsidRDefault="001E0AF6" w:rsidP="001E0AF6">
      <w:pPr>
        <w:pStyle w:val="ListParagraph"/>
        <w:numPr>
          <w:ilvl w:val="0"/>
          <w:numId w:val="58"/>
        </w:numPr>
        <w:rPr>
          <w:rFonts w:asciiTheme="minorHAnsi" w:hAnsiTheme="minorHAnsi" w:cstheme="minorHAnsi"/>
        </w:rPr>
      </w:pPr>
      <w:r w:rsidRPr="00B3622E">
        <w:rPr>
          <w:rFonts w:asciiTheme="minorHAnsi" w:hAnsiTheme="minorHAnsi" w:cstheme="minorHAnsi"/>
        </w:rPr>
        <w:t xml:space="preserve">All organisations will undergo identical controlled onboarding, safety assessment, and conformance testing. </w:t>
      </w:r>
      <w:r w:rsidRPr="00B3622E">
        <w:rPr>
          <w:rFonts w:asciiTheme="minorHAnsi" w:hAnsiTheme="minorHAnsi" w:cstheme="minorHAnsi"/>
          <w:color w:val="auto"/>
          <w:lang w:eastAsia="en-GB"/>
        </w:rPr>
        <w:t>For deployment, identified risks that cannot be fully mitigated through system design are transferred to deploying organisations as DCB0160 control requirements. These controls are operationalised through the NIR onboarding process, which requires confirmation of DCB0160 completion and implementation of key local controls prior to go-live. Residual risk acceptance is therefore conditional on these controls being implemented and maintained by each deploying organisation.</w:t>
      </w:r>
    </w:p>
    <w:p w14:paraId="79F7E7BE" w14:textId="4BBCE1CA" w:rsidR="001E0AF6" w:rsidRPr="00B3622E" w:rsidRDefault="001E0AF6" w:rsidP="00B82077">
      <w:pPr>
        <w:pStyle w:val="ListParagraph"/>
        <w:numPr>
          <w:ilvl w:val="0"/>
          <w:numId w:val="58"/>
        </w:numPr>
        <w:rPr>
          <w:rFonts w:cstheme="minorHAnsi"/>
        </w:rPr>
      </w:pPr>
      <w:r w:rsidRPr="00B3622E">
        <w:rPr>
          <w:rFonts w:cstheme="minorHAnsi"/>
        </w:rPr>
        <w:t>All key documents including this CSCR, and the Hazard log (HL) are all stored in a Clinical Risk Management File (CRMF).</w:t>
      </w:r>
    </w:p>
    <w:p w14:paraId="7935929B" w14:textId="61E74209" w:rsidR="00D92C32" w:rsidRPr="00B3622E" w:rsidRDefault="00D92C32" w:rsidP="00B82077">
      <w:pPr>
        <w:pStyle w:val="ListParagraph"/>
        <w:numPr>
          <w:ilvl w:val="0"/>
          <w:numId w:val="58"/>
        </w:numPr>
        <w:rPr>
          <w:rFonts w:cstheme="minorHAnsi"/>
        </w:rPr>
      </w:pPr>
      <w:r w:rsidRPr="00B3622E">
        <w:t>For deployment, residual risk acceptance is conditional on successful completion of the NIR onboarding process, including verification of DCB0160 controls, CSO sign-off, and approval through the NIR Onboarding Governance Group.</w:t>
      </w:r>
    </w:p>
    <w:p w14:paraId="31DEFAF6" w14:textId="77777777" w:rsidR="001E0AF6" w:rsidRPr="00BD7FB4" w:rsidRDefault="001E0AF6" w:rsidP="00B82077">
      <w:pPr>
        <w:rPr>
          <w:rFonts w:cstheme="minorHAnsi"/>
          <w:color w:val="FF0000"/>
        </w:rPr>
      </w:pPr>
    </w:p>
    <w:p w14:paraId="495ABB7D" w14:textId="5369F2A2" w:rsidR="007D4D4A" w:rsidRPr="00BD7FB4" w:rsidRDefault="007D4D4A" w:rsidP="00105D26">
      <w:pPr>
        <w:pStyle w:val="Heading2"/>
      </w:pPr>
      <w:bookmarkStart w:id="32" w:name="_Toc214870525"/>
      <w:r w:rsidRPr="00BD7FB4">
        <w:t>Clinical Risk Management File</w:t>
      </w:r>
      <w:bookmarkEnd w:id="32"/>
    </w:p>
    <w:p w14:paraId="5EE2E61D" w14:textId="77777777" w:rsidR="003463FC" w:rsidRDefault="003463FC" w:rsidP="003463FC">
      <w:r w:rsidRPr="003463FC">
        <w:t>Clinical Risk Management File (CRMF) has been established for the National Image Registry (NIR) in accordance with the requirements of DCB 0129 and the NHS England Clinical Safety Management System (CSMS).</w:t>
      </w:r>
      <w:r>
        <w:t xml:space="preserve"> </w:t>
      </w:r>
    </w:p>
    <w:p w14:paraId="1EAD91C5" w14:textId="39752A42" w:rsidR="003463FC" w:rsidRPr="003463FC" w:rsidRDefault="003463FC" w:rsidP="003463FC">
      <w:r w:rsidRPr="003463FC">
        <w:t>The CRMF serves as the central repository for all documentation and evidence relating to the clinical safety assurance of the NIR, ensuring traceability, version control, and governance continuity throughout the system lifecycle.</w:t>
      </w:r>
    </w:p>
    <w:p w14:paraId="03BDE2F9" w14:textId="05B3AFC4" w:rsidR="003463FC" w:rsidRPr="003463FC" w:rsidRDefault="003463FC" w:rsidP="003463FC">
      <w:r w:rsidRPr="003463FC">
        <w:t>Purpose</w:t>
      </w:r>
    </w:p>
    <w:p w14:paraId="26B92AF9" w14:textId="77777777" w:rsidR="003463FC" w:rsidRPr="003463FC" w:rsidRDefault="003463FC" w:rsidP="003463FC">
      <w:r w:rsidRPr="003463FC">
        <w:t>The CRMF provides a structured, single source of reference for all artefacts demonstrating compliance with DCB 0129, including hazard identification, risk assessments, mitigation evidence, and governance approvals. It supports the Clinical Safety Officer (CSO) in maintaining ongoing oversight of clinical risk management and ensures that all relevant materials are accessible for audit, assurance, and review.</w:t>
      </w:r>
    </w:p>
    <w:p w14:paraId="5C737980" w14:textId="05DD5975" w:rsidR="003463FC" w:rsidRPr="003463FC" w:rsidRDefault="003463FC" w:rsidP="003463FC">
      <w:pPr>
        <w:rPr>
          <w:rFonts w:asciiTheme="minorHAnsi" w:hAnsiTheme="minorHAnsi" w:cstheme="minorBidi"/>
          <w:b/>
          <w:bCs/>
          <w:color w:val="auto"/>
          <w:sz w:val="22"/>
          <w:szCs w:val="22"/>
        </w:rPr>
      </w:pPr>
      <w:r w:rsidRPr="003463FC">
        <w:rPr>
          <w:rFonts w:asciiTheme="minorHAnsi" w:hAnsiTheme="minorHAnsi" w:cstheme="minorBidi"/>
          <w:b/>
          <w:bCs/>
          <w:color w:val="auto"/>
          <w:sz w:val="22"/>
          <w:szCs w:val="22"/>
        </w:rPr>
        <w:t>Contents</w:t>
      </w:r>
    </w:p>
    <w:p w14:paraId="55090C8C" w14:textId="77777777" w:rsidR="003463FC" w:rsidRPr="00B3622E" w:rsidRDefault="003463FC" w:rsidP="003463FC">
      <w:pPr>
        <w:rPr>
          <w:rFonts w:asciiTheme="minorHAnsi" w:hAnsiTheme="minorHAnsi" w:cstheme="minorBidi"/>
          <w:color w:val="auto"/>
        </w:rPr>
      </w:pPr>
      <w:r w:rsidRPr="00B3622E">
        <w:rPr>
          <w:rFonts w:asciiTheme="minorHAnsi" w:hAnsiTheme="minorHAnsi" w:cstheme="minorBidi"/>
          <w:color w:val="auto"/>
        </w:rPr>
        <w:t>The CRMF includes, but is not limited to, the following controlled artefacts:</w:t>
      </w:r>
    </w:p>
    <w:p w14:paraId="57334A06"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Clinical Risk Management Plan (CRMP) – defining the governance structure, methodology, and responsibilities.</w:t>
      </w:r>
    </w:p>
    <w:p w14:paraId="65ABA8FC"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Clinical Safety Case Report (CSCR) – presenting the safety justification and residual risk position.</w:t>
      </w:r>
    </w:p>
    <w:p w14:paraId="057EBF77"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lastRenderedPageBreak/>
        <w:t>Hazard Log – recording identified hazards, associated risks, mitigations, and outcomes.</w:t>
      </w:r>
    </w:p>
    <w:p w14:paraId="6A83EBA1"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Clinical Safety Workshop Records – including attendance, minutes, and hazard validation outcomes.</w:t>
      </w:r>
    </w:p>
    <w:p w14:paraId="61F3708E"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Change and Release Safety Assessments – documenting reviews of configuration or functional updates.</w:t>
      </w:r>
    </w:p>
    <w:p w14:paraId="5331D518"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Medical Device Classification Assessment Form – confirming the non-medical-device status of the NIR.</w:t>
      </w:r>
    </w:p>
    <w:p w14:paraId="39C8EDEF" w14:textId="77777777" w:rsidR="003463FC" w:rsidRPr="00B3622E" w:rsidRDefault="003463FC" w:rsidP="00143DD5">
      <w:pPr>
        <w:pStyle w:val="ListParagraph"/>
        <w:numPr>
          <w:ilvl w:val="0"/>
          <w:numId w:val="40"/>
        </w:numPr>
        <w:rPr>
          <w:rFonts w:asciiTheme="minorHAnsi" w:hAnsiTheme="minorHAnsi" w:cstheme="minorBidi"/>
          <w:color w:val="auto"/>
        </w:rPr>
      </w:pPr>
      <w:r w:rsidRPr="00B3622E">
        <w:rPr>
          <w:rFonts w:asciiTheme="minorHAnsi" w:hAnsiTheme="minorHAnsi" w:cstheme="minorBidi"/>
          <w:color w:val="auto"/>
        </w:rPr>
        <w:t>Supporting Evidence – including testing outputs, incident reviews, and programme-level approvals.</w:t>
      </w:r>
    </w:p>
    <w:p w14:paraId="3C35D4AA" w14:textId="07F735EE" w:rsidR="003463FC" w:rsidRPr="00B3622E" w:rsidRDefault="003463FC" w:rsidP="00B3622E">
      <w:pPr>
        <w:spacing w:line="276" w:lineRule="auto"/>
        <w:rPr>
          <w:rFonts w:asciiTheme="minorHAnsi" w:hAnsiTheme="minorHAnsi" w:cstheme="minorBidi"/>
          <w:b/>
          <w:bCs/>
          <w:color w:val="auto"/>
        </w:rPr>
      </w:pPr>
      <w:r w:rsidRPr="00B3622E">
        <w:rPr>
          <w:rFonts w:asciiTheme="minorHAnsi" w:hAnsiTheme="minorHAnsi" w:cstheme="minorBidi"/>
          <w:b/>
          <w:bCs/>
          <w:color w:val="auto"/>
        </w:rPr>
        <w:t>Storage and Maintenance</w:t>
      </w:r>
    </w:p>
    <w:p w14:paraId="782C5CD7" w14:textId="77777777" w:rsidR="003463FC" w:rsidRPr="00B3622E" w:rsidRDefault="003463FC" w:rsidP="00B3622E">
      <w:pPr>
        <w:spacing w:line="276" w:lineRule="auto"/>
      </w:pPr>
      <w:r w:rsidRPr="00B3622E">
        <w:t>The CRMF is maintained by the NIR Project Team within the NHS England secure digital workspace.</w:t>
      </w:r>
      <w:r w:rsidRPr="00B3622E">
        <w:br/>
        <w:t>It is hosted on the NHS England Confluence platform, under restricted access, ensuring appropriate information governance and version control.</w:t>
      </w:r>
      <w:r w:rsidRPr="00B3622E">
        <w:br/>
        <w:t>Only authorised members of the Clinical Safety Team, Programme Management Office (PMO), and relevant assurance stakeholders have edit permissions; read-only access may be granted to auditors or external reviewers as required.</w:t>
      </w:r>
    </w:p>
    <w:p w14:paraId="58F29133" w14:textId="77777777" w:rsidR="003463FC" w:rsidRPr="00B3622E" w:rsidRDefault="003463FC" w:rsidP="00B3622E">
      <w:pPr>
        <w:spacing w:line="276" w:lineRule="auto"/>
      </w:pPr>
      <w:r w:rsidRPr="00B3622E">
        <w:t>Updates to the CRMF are controlled through the NIR configuration management process. Each new release or safety review results in version updates to the associated artefacts, which are logged and referenced in the CRMF index.</w:t>
      </w:r>
    </w:p>
    <w:p w14:paraId="197367C9" w14:textId="00CD462F" w:rsidR="003463FC" w:rsidRPr="00B3622E" w:rsidRDefault="003463FC" w:rsidP="00B3622E">
      <w:pPr>
        <w:spacing w:line="276" w:lineRule="auto"/>
        <w:rPr>
          <w:b/>
          <w:bCs/>
        </w:rPr>
      </w:pPr>
      <w:r w:rsidRPr="00B3622E">
        <w:rPr>
          <w:b/>
          <w:bCs/>
        </w:rPr>
        <w:t>Ownership and Review</w:t>
      </w:r>
    </w:p>
    <w:p w14:paraId="7B614596" w14:textId="77777777" w:rsidR="003463FC" w:rsidRPr="00B3622E" w:rsidRDefault="003463FC" w:rsidP="00B3622E">
      <w:pPr>
        <w:spacing w:line="276" w:lineRule="auto"/>
      </w:pPr>
      <w:r w:rsidRPr="00B3622E">
        <w:t>The Clinical Safety Officer (CSO) is the accountable owner of the CRMF.</w:t>
      </w:r>
      <w:r w:rsidRPr="00B3622E">
        <w:br/>
        <w:t>Routine reviews are conducted at key programme milestones and following any significant changes to the system, governance process, or associated clinical risk documentation.</w:t>
      </w:r>
      <w:r w:rsidRPr="00B3622E">
        <w:br/>
        <w:t>A formal CRMF audit is undertaken at least annually to ensure completeness, accuracy, and compliance with DCB 0129 and NHS England policy.</w:t>
      </w:r>
    </w:p>
    <w:p w14:paraId="1EE57F97" w14:textId="77777777" w:rsidR="003463FC" w:rsidRPr="003463FC" w:rsidRDefault="003463FC" w:rsidP="003463FC"/>
    <w:p w14:paraId="35F11B7A" w14:textId="3358CED7" w:rsidR="00EC0DE9" w:rsidRPr="00BD7FB4" w:rsidRDefault="00DB7FE3" w:rsidP="0013722C">
      <w:pPr>
        <w:pStyle w:val="Heading1"/>
      </w:pPr>
      <w:bookmarkStart w:id="33" w:name="_Toc214870526"/>
      <w:r w:rsidRPr="00BD7FB4">
        <w:t xml:space="preserve">Clinical Risk </w:t>
      </w:r>
      <w:r w:rsidR="00DC1414" w:rsidRPr="00BD7FB4">
        <w:t xml:space="preserve">Identification &amp; </w:t>
      </w:r>
      <w:r w:rsidRPr="00BD7FB4">
        <w:t>Analysis</w:t>
      </w:r>
      <w:bookmarkEnd w:id="33"/>
    </w:p>
    <w:p w14:paraId="3DE431CC" w14:textId="77777777" w:rsidR="0011672A" w:rsidRPr="0011672A" w:rsidRDefault="0011672A" w:rsidP="0011672A">
      <w:r w:rsidRPr="0011672A">
        <w:t>Clinical risk identification and analysis for the National Image Registry (NIR) has been undertaken in accordance with the principles of DCB 0129 and the methodology defined in the NIR Clinical Risk Management Plan (CRMP).</w:t>
      </w:r>
    </w:p>
    <w:p w14:paraId="765721DE" w14:textId="77777777" w:rsidR="0011672A" w:rsidRPr="0011672A" w:rsidRDefault="0011672A" w:rsidP="0011672A">
      <w:r w:rsidRPr="0011672A">
        <w:t>The purpose of this process is to identify any potential hazards that could lead to patient harm, data integrity issues, or delays in clinical care, and to evaluate these risks in a systematic, transparent, and evidence-based manner.</w:t>
      </w:r>
    </w:p>
    <w:p w14:paraId="07BB3BC9" w14:textId="2728737A" w:rsidR="0011672A" w:rsidRPr="0011672A" w:rsidRDefault="0011672A" w:rsidP="0011672A">
      <w:r w:rsidRPr="0011672A">
        <w:t xml:space="preserve">Hazards were identified through design reviews, multidisciplinary clinical safety workshops, and structured analysis of the </w:t>
      </w:r>
      <w:r w:rsidRPr="00135778">
        <w:rPr>
          <w:color w:val="auto"/>
        </w:rPr>
        <w:t xml:space="preserve">system’s architecture and data flows across </w:t>
      </w:r>
      <w:r w:rsidR="00834EE9" w:rsidRPr="00135778">
        <w:rPr>
          <w:rFonts w:asciiTheme="minorHAnsi" w:hAnsiTheme="minorHAnsi" w:cstheme="minorBidi"/>
          <w:color w:val="auto"/>
        </w:rPr>
        <w:t>Discovery &amp; Report Retrieval and Image retrieval for the XCA endpoint</w:t>
      </w:r>
      <w:r w:rsidRPr="00135778">
        <w:rPr>
          <w:color w:val="auto"/>
        </w:rPr>
        <w:t>.</w:t>
      </w:r>
    </w:p>
    <w:p w14:paraId="34F1447E" w14:textId="77777777" w:rsidR="0011672A" w:rsidRPr="0011672A" w:rsidRDefault="0011672A" w:rsidP="0011672A">
      <w:r w:rsidRPr="0011672A">
        <w:t>Each hazard was assessed for its potential clinical impact (severity) and likelihood of occurrence, using the standard NHS England DCB 0129 risk scoring matrix, and recorded within the maintained NIR Hazard Log.</w:t>
      </w:r>
    </w:p>
    <w:p w14:paraId="7A4B529C" w14:textId="26DD71A3" w:rsidR="007C4139" w:rsidRPr="0011672A" w:rsidRDefault="0011672A" w:rsidP="0011672A">
      <w:r w:rsidRPr="0011672A">
        <w:lastRenderedPageBreak/>
        <w:t>The resulting analysis provides the foundation for the safety justification and residual risk statement presented later in this Safety Case.</w:t>
      </w:r>
    </w:p>
    <w:p w14:paraId="02ECDE65" w14:textId="257A2E1C" w:rsidR="00DB7FE3" w:rsidRPr="00BD7FB4" w:rsidRDefault="00DB7FE3" w:rsidP="00105D26">
      <w:pPr>
        <w:pStyle w:val="Heading2"/>
      </w:pPr>
      <w:bookmarkStart w:id="34" w:name="_Toc214870527"/>
      <w:r w:rsidRPr="00BD7FB4">
        <w:t>Clinical Risk Evaluation</w:t>
      </w:r>
      <w:bookmarkEnd w:id="34"/>
    </w:p>
    <w:p w14:paraId="1E5DF502" w14:textId="787CC949" w:rsidR="00591E5E" w:rsidRPr="00BD7FB4" w:rsidRDefault="004C5B34" w:rsidP="00B82077">
      <w:r w:rsidRPr="00BD7FB4">
        <w:t>For t</w:t>
      </w:r>
      <w:r w:rsidR="009726FB" w:rsidRPr="00BD7FB4">
        <w:t xml:space="preserve">he initial </w:t>
      </w:r>
      <w:r w:rsidR="00D816FA">
        <w:t>H</w:t>
      </w:r>
      <w:r w:rsidRPr="00BD7FB4">
        <w:t xml:space="preserve">azard </w:t>
      </w:r>
      <w:r w:rsidR="00D816FA">
        <w:t>L</w:t>
      </w:r>
      <w:r w:rsidRPr="00BD7FB4">
        <w:t>og</w:t>
      </w:r>
      <w:r w:rsidR="00D816FA">
        <w:t xml:space="preserve"> </w:t>
      </w:r>
      <w:r w:rsidR="00332721">
        <w:t>(</w:t>
      </w:r>
      <w:r w:rsidR="00D816FA">
        <w:t xml:space="preserve">Ref: </w:t>
      </w:r>
      <w:r w:rsidRPr="00BD7FB4">
        <w:t xml:space="preserve"> a</w:t>
      </w:r>
      <w:r w:rsidR="00BC631A" w:rsidRPr="00BD7FB4">
        <w:t>ll identified hazards were evaluated from the perspective of patient safety consequences using a Cause, Effect, Hazard, Harm approach to explore potential consequences. Contributory factors were considered, in addition to identifying existing mitigating controls from a health IT design, User Training and Business Process perspective.  </w:t>
      </w:r>
    </w:p>
    <w:p w14:paraId="1736E4AE" w14:textId="79ABF336" w:rsidR="006C1D94" w:rsidRPr="00BD7FB4" w:rsidRDefault="006C1D94" w:rsidP="00B82077">
      <w:pPr>
        <w:rPr>
          <w:rFonts w:cstheme="minorBidi"/>
        </w:rPr>
      </w:pPr>
      <w:r w:rsidRPr="00BD7FB4">
        <w:rPr>
          <w:rFonts w:cstheme="minorBidi"/>
        </w:rPr>
        <w:t>The clinical risk associated with each hazard was scored based on two factors</w:t>
      </w:r>
      <w:r w:rsidR="003C09D6">
        <w:rPr>
          <w:rFonts w:cstheme="minorBidi"/>
        </w:rPr>
        <w:t>:</w:t>
      </w:r>
      <w:r w:rsidRPr="00BD7FB4">
        <w:rPr>
          <w:rFonts w:cstheme="minorBidi"/>
        </w:rPr>
        <w:t xml:space="preserve"> the severity of harm (if the hazard were realised) and the likelihood of occurrence of that harm. For each of these factors</w:t>
      </w:r>
      <w:r w:rsidR="003C09D6">
        <w:rPr>
          <w:rFonts w:cstheme="minorBidi"/>
        </w:rPr>
        <w:t>,</w:t>
      </w:r>
      <w:r w:rsidRPr="00BD7FB4">
        <w:rPr>
          <w:rFonts w:cstheme="minorBidi"/>
        </w:rPr>
        <w:t xml:space="preserve"> the presence or otherwise of existing mitigation was considered. The associated matrix for this is in Appendix </w:t>
      </w:r>
      <w:r w:rsidR="006B56FE">
        <w:rPr>
          <w:rFonts w:cstheme="minorBidi"/>
        </w:rPr>
        <w:t>B</w:t>
      </w:r>
      <w:r w:rsidR="00B8298D" w:rsidRPr="00BD7FB4">
        <w:rPr>
          <w:rFonts w:cstheme="minorBidi"/>
        </w:rPr>
        <w:t>.</w:t>
      </w:r>
    </w:p>
    <w:p w14:paraId="4DF84357" w14:textId="51CC7BCE" w:rsidR="00BC631A" w:rsidRPr="00BD7FB4" w:rsidRDefault="006C1D94" w:rsidP="00B82077">
      <w:pPr>
        <w:rPr>
          <w:rFonts w:cstheme="minorBidi"/>
        </w:rPr>
      </w:pPr>
      <w:r w:rsidRPr="00BD7FB4">
        <w:rPr>
          <w:rFonts w:cstheme="minorBidi"/>
        </w:rPr>
        <w:t xml:space="preserve">The criteria used for assessment is also provided in Appendix </w:t>
      </w:r>
      <w:r w:rsidR="006B56FE">
        <w:rPr>
          <w:rFonts w:cstheme="minorBidi"/>
        </w:rPr>
        <w:t>B</w:t>
      </w:r>
      <w:r w:rsidRPr="00BD7FB4">
        <w:rPr>
          <w:rFonts w:cstheme="minorBidi"/>
        </w:rPr>
        <w:t>. The values obtained for consequence and likelihood were then applied to the following matrix to obtain an overall risk acceptability score from 1 to 5, where 5 represents the greater risk.</w:t>
      </w:r>
      <w:r w:rsidR="00342C1F" w:rsidRPr="00BD7FB4">
        <w:rPr>
          <w:rFonts w:cstheme="minorBidi"/>
        </w:rPr>
        <w:t xml:space="preserve"> </w:t>
      </w:r>
      <w:r w:rsidR="00BC631A" w:rsidRPr="00BD7FB4">
        <w:rPr>
          <w:rFonts w:cstheme="minorBidi"/>
        </w:rPr>
        <w:t xml:space="preserve">Input at all stages was gathered from all relevant </w:t>
      </w:r>
      <w:r w:rsidR="008C1248">
        <w:rPr>
          <w:rFonts w:cstheme="minorBidi"/>
        </w:rPr>
        <w:t>N</w:t>
      </w:r>
      <w:r w:rsidR="00DA0367">
        <w:rPr>
          <w:rFonts w:cstheme="minorBidi"/>
        </w:rPr>
        <w:t>IR</w:t>
      </w:r>
      <w:r w:rsidR="00BC631A" w:rsidRPr="00BD7FB4">
        <w:rPr>
          <w:rFonts w:cstheme="minorBidi"/>
        </w:rPr>
        <w:t xml:space="preserve"> stakeholders including </w:t>
      </w:r>
      <w:r w:rsidR="00DA0367">
        <w:rPr>
          <w:rFonts w:cstheme="minorBidi"/>
        </w:rPr>
        <w:t>deployment</w:t>
      </w:r>
      <w:r w:rsidR="00BC631A" w:rsidRPr="00BD7FB4">
        <w:rPr>
          <w:rFonts w:cstheme="minorBidi"/>
        </w:rPr>
        <w:t xml:space="preserve"> and management teams.  </w:t>
      </w:r>
    </w:p>
    <w:p w14:paraId="483C3B91" w14:textId="40ECE966" w:rsidR="00BC631A" w:rsidRPr="00BD7FB4" w:rsidRDefault="00BC631A" w:rsidP="00B82077">
      <w:pPr>
        <w:rPr>
          <w:rFonts w:eastAsia="Quattrocento Sans"/>
        </w:rPr>
      </w:pPr>
      <w:r w:rsidRPr="00BD7FB4">
        <w:t xml:space="preserve">The Clinical Risk Analysis Process outlined above has assessed each of the hazards individually to ensure that the </w:t>
      </w:r>
      <w:r w:rsidR="00763613" w:rsidRPr="00BD7FB4">
        <w:t>residual design</w:t>
      </w:r>
      <w:r w:rsidRPr="00BD7FB4">
        <w:t xml:space="preserve"> risk ratings are accurate and justified. </w:t>
      </w:r>
    </w:p>
    <w:p w14:paraId="31120148" w14:textId="0CDF5A59" w:rsidR="003C09D6" w:rsidRDefault="00BC631A" w:rsidP="00B82077">
      <w:r w:rsidRPr="00BD7FB4">
        <w:rPr>
          <w:highlight w:val="white"/>
        </w:rPr>
        <w:t>Table 2 below outlines the number of identified hazards and their respective</w:t>
      </w:r>
      <w:r w:rsidR="008D6E81" w:rsidRPr="00BD7FB4">
        <w:rPr>
          <w:highlight w:val="white"/>
        </w:rPr>
        <w:t xml:space="preserve"> </w:t>
      </w:r>
      <w:r w:rsidR="006C1983" w:rsidRPr="00BD7FB4">
        <w:rPr>
          <w:highlight w:val="white"/>
        </w:rPr>
        <w:t>residual</w:t>
      </w:r>
      <w:r w:rsidR="008D6E81" w:rsidRPr="00BD7FB4">
        <w:t xml:space="preserve"> </w:t>
      </w:r>
      <w:r w:rsidR="00763613" w:rsidRPr="00BD7FB4">
        <w:t>design</w:t>
      </w:r>
      <w:r w:rsidR="008D6E81" w:rsidRPr="00BD7FB4">
        <w:rPr>
          <w:highlight w:val="white"/>
        </w:rPr>
        <w:t xml:space="preserve"> </w:t>
      </w:r>
      <w:r w:rsidRPr="00BD7FB4">
        <w:rPr>
          <w:highlight w:val="white"/>
        </w:rPr>
        <w:t xml:space="preserve">risk ratings. </w:t>
      </w:r>
      <w:r w:rsidR="00C72E98" w:rsidRPr="00B3622E">
        <w:t xml:space="preserve">Of the </w:t>
      </w:r>
      <w:r w:rsidR="00170C2F" w:rsidRPr="00B3622E">
        <w:t>1</w:t>
      </w:r>
      <w:r w:rsidR="00C464BA" w:rsidRPr="00B3622E">
        <w:t>1</w:t>
      </w:r>
      <w:r w:rsidR="00C72E98" w:rsidRPr="00B3622E">
        <w:t xml:space="preserve"> hazards identified </w:t>
      </w:r>
      <w:r w:rsidR="000B2E53" w:rsidRPr="00B3622E">
        <w:t>all</w:t>
      </w:r>
      <w:r w:rsidR="00C72E98" w:rsidRPr="00B3622E">
        <w:t xml:space="preserve"> scored a lower classification (1 or 2) and</w:t>
      </w:r>
      <w:r w:rsidR="00A42AB8" w:rsidRPr="00B3622E">
        <w:t xml:space="preserve"> are</w:t>
      </w:r>
      <w:r w:rsidR="00C72E98" w:rsidRPr="00B3622E">
        <w:t xml:space="preserve"> therefore acceptable, where further risk reduction may be impracticable</w:t>
      </w:r>
      <w:r w:rsidR="00A42AB8" w:rsidRPr="00B3622E">
        <w:t>.</w:t>
      </w:r>
      <w:r w:rsidRPr="00B3622E">
        <w:t> </w:t>
      </w:r>
      <w:r w:rsidRPr="00BD7FB4">
        <w:rPr>
          <w:highlight w:val="white"/>
        </w:rPr>
        <w:t> </w:t>
      </w:r>
      <w:r w:rsidRPr="00BD7FB4">
        <w:t> </w:t>
      </w:r>
    </w:p>
    <w:p w14:paraId="3411FFF4" w14:textId="77777777" w:rsidR="00B82077" w:rsidRPr="00BD7FB4" w:rsidRDefault="00B82077" w:rsidP="00B82077"/>
    <w:tbl>
      <w:tblPr>
        <w:tblStyle w:val="TableGrid"/>
        <w:tblW w:w="7919" w:type="dxa"/>
        <w:jc w:val="center"/>
        <w:tblLook w:val="04A0" w:firstRow="1" w:lastRow="0" w:firstColumn="1" w:lastColumn="0" w:noHBand="0" w:noVBand="1"/>
      </w:tblPr>
      <w:tblGrid>
        <w:gridCol w:w="1989"/>
        <w:gridCol w:w="2089"/>
        <w:gridCol w:w="1887"/>
        <w:gridCol w:w="1954"/>
      </w:tblGrid>
      <w:tr w:rsidR="003C09D6" w:rsidRPr="00BD7FB4" w14:paraId="0D9734D4" w14:textId="77777777">
        <w:trPr>
          <w:trHeight w:val="368"/>
          <w:jc w:val="center"/>
        </w:trPr>
        <w:tc>
          <w:tcPr>
            <w:tcW w:w="1989" w:type="dxa"/>
            <w:shd w:val="clear" w:color="auto" w:fill="71CCEF" w:themeFill="accent4"/>
          </w:tcPr>
          <w:p w14:paraId="39A24581" w14:textId="77777777" w:rsidR="003C09D6" w:rsidRPr="00BD7FB4" w:rsidRDefault="003C09D6" w:rsidP="00F37A24">
            <w:r w:rsidRPr="00BD7FB4">
              <w:t>Solution</w:t>
            </w:r>
          </w:p>
        </w:tc>
        <w:tc>
          <w:tcPr>
            <w:tcW w:w="2089" w:type="dxa"/>
            <w:shd w:val="clear" w:color="auto" w:fill="71CCEF" w:themeFill="accent4"/>
          </w:tcPr>
          <w:p w14:paraId="215137D6" w14:textId="77777777" w:rsidR="003C09D6" w:rsidRPr="00BD7FB4" w:rsidRDefault="003C09D6" w:rsidP="00F37A24">
            <w:r w:rsidRPr="00BD7FB4">
              <w:t>Risk Rating 1</w:t>
            </w:r>
          </w:p>
        </w:tc>
        <w:tc>
          <w:tcPr>
            <w:tcW w:w="1887" w:type="dxa"/>
            <w:shd w:val="clear" w:color="auto" w:fill="71CCEF" w:themeFill="accent4"/>
          </w:tcPr>
          <w:p w14:paraId="43D7DBA4" w14:textId="77777777" w:rsidR="003C09D6" w:rsidRPr="00BD7FB4" w:rsidRDefault="003C09D6" w:rsidP="00F37A24">
            <w:r w:rsidRPr="00BD7FB4">
              <w:t>Risk Rating 2</w:t>
            </w:r>
          </w:p>
        </w:tc>
        <w:tc>
          <w:tcPr>
            <w:tcW w:w="1954" w:type="dxa"/>
            <w:shd w:val="clear" w:color="auto" w:fill="71CCEF" w:themeFill="accent4"/>
          </w:tcPr>
          <w:p w14:paraId="4B1206AF" w14:textId="77777777" w:rsidR="003C09D6" w:rsidRPr="00BD7FB4" w:rsidRDefault="003C09D6" w:rsidP="00F37A24">
            <w:r w:rsidRPr="00BD7FB4">
              <w:t>Total</w:t>
            </w:r>
          </w:p>
        </w:tc>
      </w:tr>
      <w:tr w:rsidR="003C09D6" w:rsidRPr="00BD7FB4" w14:paraId="167EC1DB" w14:textId="77777777">
        <w:trPr>
          <w:trHeight w:val="354"/>
          <w:jc w:val="center"/>
        </w:trPr>
        <w:tc>
          <w:tcPr>
            <w:tcW w:w="1989" w:type="dxa"/>
          </w:tcPr>
          <w:p w14:paraId="7CD266E7" w14:textId="6CB90D3A" w:rsidR="003C09D6" w:rsidRPr="00BD7FB4" w:rsidRDefault="004B775F" w:rsidP="00F37A24">
            <w:r>
              <w:t>NHS NIR</w:t>
            </w:r>
          </w:p>
        </w:tc>
        <w:tc>
          <w:tcPr>
            <w:tcW w:w="2089" w:type="dxa"/>
          </w:tcPr>
          <w:p w14:paraId="2EC2AD78" w14:textId="176C516A" w:rsidR="003C09D6" w:rsidRPr="00BD7FB4" w:rsidRDefault="00E60FF7" w:rsidP="00F37A24">
            <w:pPr>
              <w:jc w:val="center"/>
            </w:pPr>
            <w:r>
              <w:t>1</w:t>
            </w:r>
          </w:p>
        </w:tc>
        <w:tc>
          <w:tcPr>
            <w:tcW w:w="1887" w:type="dxa"/>
          </w:tcPr>
          <w:p w14:paraId="7D85B0AD" w14:textId="1B76B608" w:rsidR="003C09D6" w:rsidRPr="00BD7FB4" w:rsidRDefault="00C464BA" w:rsidP="00F37A24">
            <w:pPr>
              <w:jc w:val="center"/>
            </w:pPr>
            <w:r>
              <w:t>10</w:t>
            </w:r>
          </w:p>
        </w:tc>
        <w:tc>
          <w:tcPr>
            <w:tcW w:w="1954" w:type="dxa"/>
          </w:tcPr>
          <w:p w14:paraId="51A3DDBF" w14:textId="7E57AFD7" w:rsidR="003C09D6" w:rsidRPr="00BD7FB4" w:rsidRDefault="004B775F" w:rsidP="00F37A24">
            <w:pPr>
              <w:jc w:val="center"/>
            </w:pPr>
            <w:r>
              <w:t>1</w:t>
            </w:r>
            <w:r w:rsidR="00C464BA">
              <w:t>1</w:t>
            </w:r>
          </w:p>
        </w:tc>
      </w:tr>
    </w:tbl>
    <w:p w14:paraId="0E038F6F" w14:textId="77777777" w:rsidR="003C09D6" w:rsidRPr="00BD7FB4" w:rsidRDefault="003C09D6" w:rsidP="00BC631A">
      <w:pPr>
        <w:spacing w:after="0"/>
        <w:rPr>
          <w:b/>
          <w:bCs/>
          <w:color w:val="0070C0"/>
        </w:rPr>
      </w:pPr>
    </w:p>
    <w:p w14:paraId="5D51AD70" w14:textId="50F6C977" w:rsidR="00C7455B" w:rsidRPr="00BD7FB4" w:rsidRDefault="00C7455B" w:rsidP="00C7455B">
      <w:pPr>
        <w:pStyle w:val="Caption"/>
        <w:keepNext/>
        <w:jc w:val="center"/>
      </w:pPr>
      <w:bookmarkStart w:id="35" w:name="_Toc214376929"/>
      <w:r w:rsidRPr="00BD7FB4">
        <w:t xml:space="preserve">Table </w:t>
      </w:r>
      <w:r>
        <w:fldChar w:fldCharType="begin"/>
      </w:r>
      <w:r>
        <w:instrText>SEQ Table \* ARABIC</w:instrText>
      </w:r>
      <w:r>
        <w:fldChar w:fldCharType="separate"/>
      </w:r>
      <w:r w:rsidR="00E60FF7">
        <w:rPr>
          <w:noProof/>
        </w:rPr>
        <w:t>3</w:t>
      </w:r>
      <w:r>
        <w:fldChar w:fldCharType="end"/>
      </w:r>
      <w:r w:rsidRPr="00BD7FB4">
        <w:t xml:space="preserve"> - Residual Design </w:t>
      </w:r>
      <w:r w:rsidR="00591C00">
        <w:t>R</w:t>
      </w:r>
      <w:r w:rsidRPr="00BD7FB4">
        <w:t xml:space="preserve">isk Score for </w:t>
      </w:r>
      <w:r w:rsidR="00DA0367">
        <w:t>NIR</w:t>
      </w:r>
      <w:bookmarkEnd w:id="35"/>
    </w:p>
    <w:p w14:paraId="317B2A6D" w14:textId="3657E843" w:rsidR="00C24506" w:rsidRPr="00BD7FB4" w:rsidRDefault="00C24506" w:rsidP="00CC2B33">
      <w:pPr>
        <w:spacing w:line="276" w:lineRule="auto"/>
        <w:rPr>
          <w:rFonts w:asciiTheme="minorHAnsi" w:hAnsiTheme="minorHAnsi" w:cstheme="minorHAnsi"/>
          <w:color w:val="auto"/>
          <w:sz w:val="22"/>
          <w:szCs w:val="22"/>
        </w:rPr>
      </w:pPr>
      <w:r w:rsidRPr="00BD7FB4">
        <w:rPr>
          <w:rFonts w:asciiTheme="minorHAnsi" w:hAnsiTheme="minorHAnsi" w:cstheme="minorHAnsi"/>
          <w:color w:val="auto"/>
          <w:sz w:val="22"/>
          <w:szCs w:val="22"/>
          <w:highlight w:val="white"/>
        </w:rPr>
        <w:t xml:space="preserve">The detailed information for all hazards is documented in </w:t>
      </w:r>
      <w:r w:rsidR="00A96699" w:rsidRPr="00BD7FB4">
        <w:rPr>
          <w:rFonts w:asciiTheme="minorHAnsi" w:hAnsiTheme="minorHAnsi" w:cstheme="minorHAnsi"/>
          <w:color w:val="auto"/>
          <w:sz w:val="22"/>
          <w:szCs w:val="22"/>
          <w:highlight w:val="white"/>
        </w:rPr>
        <w:t xml:space="preserve">the </w:t>
      </w:r>
      <w:r w:rsidR="00113765">
        <w:rPr>
          <w:rFonts w:asciiTheme="minorHAnsi" w:hAnsiTheme="minorHAnsi" w:cstheme="minorHAnsi"/>
          <w:color w:val="auto"/>
          <w:sz w:val="22"/>
          <w:szCs w:val="22"/>
          <w:highlight w:val="white"/>
        </w:rPr>
        <w:t>Hazard Log</w:t>
      </w:r>
      <w:r w:rsidRPr="00BD7FB4">
        <w:rPr>
          <w:rFonts w:asciiTheme="minorHAnsi" w:hAnsiTheme="minorHAnsi" w:cstheme="minorHAnsi"/>
          <w:color w:val="auto"/>
          <w:sz w:val="22"/>
          <w:szCs w:val="22"/>
          <w:highlight w:val="white"/>
        </w:rPr>
        <w:t xml:space="preserve"> </w:t>
      </w:r>
      <w:r w:rsidR="00882250">
        <w:rPr>
          <w:rFonts w:asciiTheme="minorHAnsi" w:hAnsiTheme="minorHAnsi" w:cstheme="minorHAnsi"/>
          <w:color w:val="auto"/>
          <w:sz w:val="22"/>
          <w:szCs w:val="22"/>
          <w:highlight w:val="white"/>
        </w:rPr>
        <w:t>(</w:t>
      </w:r>
      <w:r w:rsidR="00376403">
        <w:rPr>
          <w:rFonts w:asciiTheme="minorHAnsi" w:hAnsiTheme="minorHAnsi" w:cstheme="minorHAnsi"/>
          <w:color w:val="auto"/>
          <w:sz w:val="22"/>
          <w:szCs w:val="22"/>
          <w:highlight w:val="white"/>
        </w:rPr>
        <w:t>Ref 3</w:t>
      </w:r>
      <w:r w:rsidR="00882250">
        <w:rPr>
          <w:rFonts w:asciiTheme="minorHAnsi" w:hAnsiTheme="minorHAnsi" w:cstheme="minorHAnsi"/>
          <w:color w:val="auto"/>
          <w:sz w:val="22"/>
          <w:szCs w:val="22"/>
          <w:highlight w:val="white"/>
        </w:rPr>
        <w:t>)</w:t>
      </w:r>
      <w:r w:rsidRPr="00BD7FB4">
        <w:rPr>
          <w:rFonts w:asciiTheme="minorHAnsi" w:hAnsiTheme="minorHAnsi" w:cstheme="minorHAnsi"/>
          <w:color w:val="auto"/>
          <w:sz w:val="22"/>
          <w:szCs w:val="22"/>
          <w:highlight w:val="white"/>
        </w:rPr>
        <w:t xml:space="preserve"> which is maintained throughout the lifecycle of this project.  </w:t>
      </w:r>
    </w:p>
    <w:p w14:paraId="2FE59EFC" w14:textId="2327627B" w:rsidR="00806EFF" w:rsidRPr="00BD7FB4" w:rsidRDefault="00620F43" w:rsidP="00105D26">
      <w:pPr>
        <w:pStyle w:val="Heading2"/>
      </w:pPr>
      <w:bookmarkStart w:id="36" w:name="_Toc214870528"/>
      <w:r w:rsidRPr="00BD7FB4">
        <w:t>Hazard Log Structure</w:t>
      </w:r>
      <w:bookmarkEnd w:id="36"/>
    </w:p>
    <w:p w14:paraId="6A97A48F" w14:textId="4951686B" w:rsidR="00620F43" w:rsidRPr="00B3622E" w:rsidRDefault="00620F43" w:rsidP="00D302AC">
      <w:r w:rsidRPr="00B3622E">
        <w:t>For each identified hazard</w:t>
      </w:r>
      <w:r w:rsidR="00410CEB" w:rsidRPr="00B3622E">
        <w:t>,</w:t>
      </w:r>
      <w:r w:rsidRPr="00B3622E">
        <w:t xml:space="preserve"> the following attributes are applied on the hazard log: </w:t>
      </w:r>
    </w:p>
    <w:p w14:paraId="5690FBEE" w14:textId="77777777" w:rsidR="00620F43" w:rsidRPr="00B3622E" w:rsidRDefault="00620F43" w:rsidP="00143DD5">
      <w:pPr>
        <w:numPr>
          <w:ilvl w:val="0"/>
          <w:numId w:val="7"/>
        </w:numPr>
        <w:spacing w:line="276" w:lineRule="auto"/>
        <w:jc w:val="both"/>
        <w:rPr>
          <w:rFonts w:asciiTheme="minorHAnsi" w:hAnsiTheme="minorHAnsi" w:cstheme="minorHAnsi"/>
          <w:color w:val="auto"/>
        </w:rPr>
      </w:pPr>
      <w:r w:rsidRPr="00B3622E">
        <w:rPr>
          <w:rFonts w:asciiTheme="minorHAnsi" w:hAnsiTheme="minorHAnsi" w:cstheme="minorHAnsi"/>
          <w:color w:val="auto"/>
        </w:rPr>
        <w:t>Hazard name </w:t>
      </w:r>
    </w:p>
    <w:p w14:paraId="131DCE94" w14:textId="77777777" w:rsidR="00620F43" w:rsidRPr="00B3622E" w:rsidRDefault="00620F43" w:rsidP="00143DD5">
      <w:pPr>
        <w:numPr>
          <w:ilvl w:val="0"/>
          <w:numId w:val="8"/>
        </w:numPr>
        <w:spacing w:line="276" w:lineRule="auto"/>
        <w:jc w:val="both"/>
        <w:rPr>
          <w:rFonts w:asciiTheme="minorHAnsi" w:hAnsiTheme="minorHAnsi" w:cstheme="minorHAnsi"/>
          <w:color w:val="auto"/>
        </w:rPr>
      </w:pPr>
      <w:r w:rsidRPr="00B3622E">
        <w:rPr>
          <w:rFonts w:asciiTheme="minorHAnsi" w:hAnsiTheme="minorHAnsi" w:cstheme="minorHAnsi"/>
          <w:color w:val="auto"/>
        </w:rPr>
        <w:t>Hazard number - unique reference number to enable tracking of the hazard throughout the project </w:t>
      </w:r>
    </w:p>
    <w:p w14:paraId="798AB391" w14:textId="778E017C" w:rsidR="00620F43" w:rsidRPr="00B3622E" w:rsidRDefault="00620F43" w:rsidP="00143DD5">
      <w:pPr>
        <w:numPr>
          <w:ilvl w:val="0"/>
          <w:numId w:val="9"/>
        </w:numPr>
        <w:spacing w:line="276" w:lineRule="auto"/>
        <w:jc w:val="both"/>
        <w:rPr>
          <w:rFonts w:asciiTheme="minorHAnsi" w:hAnsiTheme="minorHAnsi" w:cstheme="minorHAnsi"/>
          <w:color w:val="auto"/>
        </w:rPr>
      </w:pPr>
      <w:r w:rsidRPr="00B3622E">
        <w:rPr>
          <w:rFonts w:asciiTheme="minorHAnsi" w:hAnsiTheme="minorHAnsi" w:cstheme="minorHAnsi"/>
          <w:color w:val="auto"/>
        </w:rPr>
        <w:t xml:space="preserve">Hazard description - focuses on </w:t>
      </w:r>
      <w:r w:rsidR="00410CEB" w:rsidRPr="00B3622E">
        <w:rPr>
          <w:rFonts w:asciiTheme="minorHAnsi" w:hAnsiTheme="minorHAnsi" w:cstheme="minorHAnsi"/>
          <w:color w:val="auto"/>
        </w:rPr>
        <w:t xml:space="preserve">the </w:t>
      </w:r>
      <w:r w:rsidRPr="00B3622E">
        <w:rPr>
          <w:rFonts w:asciiTheme="minorHAnsi" w:hAnsiTheme="minorHAnsi" w:cstheme="minorHAnsi"/>
          <w:color w:val="auto"/>
        </w:rPr>
        <w:t xml:space="preserve">potential nature of </w:t>
      </w:r>
      <w:r w:rsidR="00410CEB" w:rsidRPr="00B3622E">
        <w:rPr>
          <w:rFonts w:asciiTheme="minorHAnsi" w:hAnsiTheme="minorHAnsi" w:cstheme="minorHAnsi"/>
          <w:color w:val="auto"/>
        </w:rPr>
        <w:t xml:space="preserve">the </w:t>
      </w:r>
      <w:r w:rsidRPr="00B3622E">
        <w:rPr>
          <w:rFonts w:asciiTheme="minorHAnsi" w:hAnsiTheme="minorHAnsi" w:cstheme="minorHAnsi"/>
          <w:color w:val="auto"/>
        </w:rPr>
        <w:t xml:space="preserve">hazard itself and </w:t>
      </w:r>
      <w:r w:rsidR="00410CEB" w:rsidRPr="00B3622E">
        <w:rPr>
          <w:rFonts w:asciiTheme="minorHAnsi" w:hAnsiTheme="minorHAnsi" w:cstheme="minorHAnsi"/>
          <w:color w:val="auto"/>
        </w:rPr>
        <w:t>its</w:t>
      </w:r>
      <w:r w:rsidRPr="00B3622E">
        <w:rPr>
          <w:rFonts w:asciiTheme="minorHAnsi" w:hAnsiTheme="minorHAnsi" w:cstheme="minorHAnsi"/>
          <w:color w:val="auto"/>
        </w:rPr>
        <w:t xml:space="preserve"> effect in the defined context </w:t>
      </w:r>
    </w:p>
    <w:p w14:paraId="5917BD88" w14:textId="2733AEBD" w:rsidR="00620F43" w:rsidRPr="00B3622E" w:rsidRDefault="00620F43" w:rsidP="00143DD5">
      <w:pPr>
        <w:numPr>
          <w:ilvl w:val="0"/>
          <w:numId w:val="10"/>
        </w:numPr>
        <w:spacing w:line="276" w:lineRule="auto"/>
        <w:jc w:val="both"/>
        <w:rPr>
          <w:rFonts w:asciiTheme="minorHAnsi" w:hAnsiTheme="minorHAnsi" w:cstheme="minorHAnsi"/>
          <w:color w:val="auto"/>
        </w:rPr>
      </w:pPr>
      <w:r w:rsidRPr="00B3622E">
        <w:rPr>
          <w:rFonts w:asciiTheme="minorHAnsi" w:hAnsiTheme="minorHAnsi" w:cstheme="minorHAnsi"/>
          <w:color w:val="auto"/>
        </w:rPr>
        <w:t xml:space="preserve">Potential clinical impact - potential harm / impact on patients or end users of the </w:t>
      </w:r>
      <w:r w:rsidR="005A229C" w:rsidRPr="00B3622E">
        <w:rPr>
          <w:rFonts w:asciiTheme="minorHAnsi" w:hAnsiTheme="minorHAnsi" w:cstheme="minorHAnsi"/>
          <w:color w:val="auto"/>
        </w:rPr>
        <w:t>solution</w:t>
      </w:r>
      <w:r w:rsidRPr="00B3622E">
        <w:rPr>
          <w:rFonts w:asciiTheme="minorHAnsi" w:hAnsiTheme="minorHAnsi" w:cstheme="minorHAnsi"/>
          <w:color w:val="auto"/>
        </w:rPr>
        <w:t> </w:t>
      </w:r>
    </w:p>
    <w:p w14:paraId="7ECEEDFC" w14:textId="77777777" w:rsidR="00620F43" w:rsidRPr="00B3622E" w:rsidRDefault="00620F43" w:rsidP="00143DD5">
      <w:pPr>
        <w:numPr>
          <w:ilvl w:val="0"/>
          <w:numId w:val="11"/>
        </w:numPr>
        <w:spacing w:line="276" w:lineRule="auto"/>
        <w:jc w:val="both"/>
        <w:rPr>
          <w:rFonts w:asciiTheme="minorHAnsi" w:hAnsiTheme="minorHAnsi" w:cstheme="minorHAnsi"/>
          <w:color w:val="auto"/>
        </w:rPr>
      </w:pPr>
      <w:r w:rsidRPr="00B3622E">
        <w:rPr>
          <w:rFonts w:asciiTheme="minorHAnsi" w:hAnsiTheme="minorHAnsi" w:cstheme="minorHAnsi"/>
          <w:color w:val="auto"/>
        </w:rPr>
        <w:t>Possible causes - these may be technical, device hardware, or human error. A hazard may have multiple causes - workshop activities surface these </w:t>
      </w:r>
    </w:p>
    <w:p w14:paraId="638CC5BF" w14:textId="7C7BDE67" w:rsidR="00620F43" w:rsidRPr="00B3622E" w:rsidRDefault="00620F43" w:rsidP="00143DD5">
      <w:pPr>
        <w:numPr>
          <w:ilvl w:val="0"/>
          <w:numId w:val="12"/>
        </w:numPr>
        <w:spacing w:line="276" w:lineRule="auto"/>
        <w:jc w:val="both"/>
        <w:rPr>
          <w:rFonts w:asciiTheme="minorHAnsi" w:hAnsiTheme="minorHAnsi" w:cstheme="minorHAnsi"/>
          <w:color w:val="auto"/>
        </w:rPr>
      </w:pPr>
      <w:r w:rsidRPr="00B3622E">
        <w:rPr>
          <w:rFonts w:asciiTheme="minorHAnsi" w:hAnsiTheme="minorHAnsi" w:cstheme="minorHAnsi"/>
          <w:color w:val="auto"/>
        </w:rPr>
        <w:lastRenderedPageBreak/>
        <w:t xml:space="preserve">Existing controls - measure currently </w:t>
      </w:r>
      <w:r w:rsidR="000017E3" w:rsidRPr="00B3622E">
        <w:rPr>
          <w:rFonts w:asciiTheme="minorHAnsi" w:hAnsiTheme="minorHAnsi" w:cstheme="minorHAnsi"/>
          <w:color w:val="auto"/>
        </w:rPr>
        <w:t>in</w:t>
      </w:r>
      <w:r w:rsidRPr="00B3622E">
        <w:rPr>
          <w:rFonts w:asciiTheme="minorHAnsi" w:hAnsiTheme="minorHAnsi" w:cstheme="minorHAnsi"/>
          <w:color w:val="auto"/>
        </w:rPr>
        <w:t xml:space="preserve"> place and will remain in place post implementation </w:t>
      </w:r>
    </w:p>
    <w:p w14:paraId="3C6A23DF" w14:textId="70F36EA9" w:rsidR="007C4139" w:rsidRPr="00B3622E" w:rsidRDefault="00620F43" w:rsidP="00D302AC">
      <w:r w:rsidRPr="00B3622E">
        <w:t xml:space="preserve">Each hazard was discussed by the clinical safety team and other key stakeholders / subject matter experts present at the initial workshop </w:t>
      </w:r>
      <w:r w:rsidR="00DB63F9" w:rsidRPr="00B3622E">
        <w:t>to estimate and evaluate the clinical risks and determine appropriate clinical risk control options</w:t>
      </w:r>
      <w:r w:rsidR="005068DA" w:rsidRPr="00B3622E">
        <w:t>.</w:t>
      </w:r>
    </w:p>
    <w:p w14:paraId="63B79096" w14:textId="479839A6" w:rsidR="00DB7FE3" w:rsidRPr="00BD7FB4" w:rsidRDefault="00DB7FE3" w:rsidP="00105D26">
      <w:pPr>
        <w:pStyle w:val="Heading2"/>
      </w:pPr>
      <w:bookmarkStart w:id="37" w:name="_Toc214870529"/>
      <w:r w:rsidRPr="00BD7FB4">
        <w:t>Clinical Risk Control</w:t>
      </w:r>
      <w:bookmarkEnd w:id="37"/>
    </w:p>
    <w:p w14:paraId="65B65CBE" w14:textId="10A16BF2" w:rsidR="00A70946" w:rsidRPr="00B3622E" w:rsidRDefault="00A70946" w:rsidP="00D302AC">
      <w:r w:rsidRPr="00B3622E">
        <w:t xml:space="preserve">There are several </w:t>
      </w:r>
      <w:r w:rsidR="004D03BB" w:rsidRPr="00B3622E">
        <w:t xml:space="preserve">key </w:t>
      </w:r>
      <w:r w:rsidRPr="00B3622E">
        <w:t xml:space="preserve">activities that provide the diligence in assurance, technical integration, communication, training, and clinical governance </w:t>
      </w:r>
      <w:r w:rsidR="005D7536" w:rsidRPr="00B3622E">
        <w:t xml:space="preserve">that </w:t>
      </w:r>
      <w:r w:rsidRPr="00B3622E">
        <w:t>one would expect. The areas of control are as follows:  </w:t>
      </w:r>
    </w:p>
    <w:p w14:paraId="2010C861" w14:textId="3E2165AB" w:rsidR="00A70946" w:rsidRPr="00B3622E" w:rsidRDefault="00D54A41" w:rsidP="00143DD5">
      <w:pPr>
        <w:numPr>
          <w:ilvl w:val="0"/>
          <w:numId w:val="13"/>
        </w:numPr>
        <w:spacing w:line="276" w:lineRule="auto"/>
        <w:jc w:val="both"/>
        <w:rPr>
          <w:rFonts w:asciiTheme="minorHAnsi" w:hAnsiTheme="minorHAnsi" w:cstheme="minorHAnsi"/>
          <w:color w:val="auto"/>
        </w:rPr>
      </w:pPr>
      <w:r w:rsidRPr="00B3622E">
        <w:rPr>
          <w:rFonts w:asciiTheme="minorHAnsi" w:hAnsiTheme="minorHAnsi" w:cstheme="minorHAnsi"/>
          <w:color w:val="auto"/>
        </w:rPr>
        <w:t>C</w:t>
      </w:r>
      <w:r w:rsidR="00A7700D" w:rsidRPr="00B3622E">
        <w:rPr>
          <w:rFonts w:asciiTheme="minorHAnsi" w:hAnsiTheme="minorHAnsi" w:cstheme="minorHAnsi"/>
          <w:color w:val="auto"/>
        </w:rPr>
        <w:t>onsiderations for</w:t>
      </w:r>
      <w:r w:rsidR="00F82F0C" w:rsidRPr="00B3622E">
        <w:rPr>
          <w:rFonts w:asciiTheme="minorHAnsi" w:hAnsiTheme="minorHAnsi" w:cstheme="minorHAnsi"/>
          <w:color w:val="auto"/>
        </w:rPr>
        <w:t xml:space="preserve"> </w:t>
      </w:r>
      <w:r w:rsidR="00750238" w:rsidRPr="00B3622E">
        <w:rPr>
          <w:rFonts w:asciiTheme="minorHAnsi" w:hAnsiTheme="minorHAnsi" w:cstheme="minorHAnsi"/>
          <w:color w:val="auto"/>
        </w:rPr>
        <w:t>data quality and integrity</w:t>
      </w:r>
      <w:r w:rsidR="00F82F0C" w:rsidRPr="00B3622E">
        <w:rPr>
          <w:rFonts w:asciiTheme="minorHAnsi" w:hAnsiTheme="minorHAnsi" w:cstheme="minorHAnsi"/>
          <w:color w:val="auto"/>
        </w:rPr>
        <w:t>.</w:t>
      </w:r>
      <w:r w:rsidR="00A70946" w:rsidRPr="00B3622E">
        <w:rPr>
          <w:rFonts w:asciiTheme="minorHAnsi" w:hAnsiTheme="minorHAnsi" w:cstheme="minorHAnsi"/>
          <w:color w:val="auto"/>
        </w:rPr>
        <w:t>  </w:t>
      </w:r>
    </w:p>
    <w:p w14:paraId="4CB51982" w14:textId="62D75CEF" w:rsidR="00A70946" w:rsidRPr="00B3622E" w:rsidRDefault="00A70946" w:rsidP="00143DD5">
      <w:pPr>
        <w:numPr>
          <w:ilvl w:val="0"/>
          <w:numId w:val="14"/>
        </w:numPr>
        <w:spacing w:line="276" w:lineRule="auto"/>
        <w:jc w:val="both"/>
        <w:rPr>
          <w:rFonts w:asciiTheme="minorHAnsi" w:hAnsiTheme="minorHAnsi" w:cstheme="minorHAnsi"/>
          <w:color w:val="auto"/>
        </w:rPr>
      </w:pPr>
      <w:r w:rsidRPr="00B3622E">
        <w:rPr>
          <w:rFonts w:asciiTheme="minorHAnsi" w:hAnsiTheme="minorHAnsi" w:cstheme="minorHAnsi"/>
          <w:color w:val="auto"/>
        </w:rPr>
        <w:t>Operational </w:t>
      </w:r>
      <w:r w:rsidR="00AA2E26" w:rsidRPr="00B3622E">
        <w:rPr>
          <w:rFonts w:asciiTheme="minorHAnsi" w:hAnsiTheme="minorHAnsi" w:cstheme="minorHAnsi"/>
          <w:color w:val="auto"/>
        </w:rPr>
        <w:t>use</w:t>
      </w:r>
    </w:p>
    <w:p w14:paraId="56B5E3FC" w14:textId="789F2714" w:rsidR="00A70946" w:rsidRPr="00B3622E" w:rsidRDefault="00A70946" w:rsidP="00143DD5">
      <w:pPr>
        <w:numPr>
          <w:ilvl w:val="0"/>
          <w:numId w:val="15"/>
        </w:numPr>
        <w:spacing w:line="276" w:lineRule="auto"/>
        <w:jc w:val="both"/>
        <w:rPr>
          <w:rFonts w:asciiTheme="minorHAnsi" w:hAnsiTheme="minorHAnsi" w:cstheme="minorHAnsi"/>
          <w:color w:val="auto"/>
        </w:rPr>
      </w:pPr>
      <w:r w:rsidRPr="00B3622E">
        <w:rPr>
          <w:rFonts w:asciiTheme="minorHAnsi" w:hAnsiTheme="minorHAnsi" w:cstheme="minorHAnsi"/>
          <w:color w:val="auto"/>
        </w:rPr>
        <w:t>Business Process for </w:t>
      </w:r>
      <w:r w:rsidR="004918A6" w:rsidRPr="00B3622E">
        <w:rPr>
          <w:rFonts w:asciiTheme="minorHAnsi" w:hAnsiTheme="minorHAnsi" w:cstheme="minorHAnsi"/>
          <w:color w:val="auto"/>
        </w:rPr>
        <w:t xml:space="preserve">data collection, </w:t>
      </w:r>
      <w:r w:rsidR="00AA2E26" w:rsidRPr="00B3622E">
        <w:rPr>
          <w:rFonts w:asciiTheme="minorHAnsi" w:hAnsiTheme="minorHAnsi" w:cstheme="minorHAnsi"/>
          <w:color w:val="auto"/>
        </w:rPr>
        <w:t>anonymisation</w:t>
      </w:r>
      <w:r w:rsidR="004918A6" w:rsidRPr="00B3622E">
        <w:rPr>
          <w:rFonts w:asciiTheme="minorHAnsi" w:hAnsiTheme="minorHAnsi" w:cstheme="minorHAnsi"/>
          <w:color w:val="auto"/>
        </w:rPr>
        <w:t xml:space="preserve"> and reidentification.</w:t>
      </w:r>
      <w:r w:rsidRPr="00B3622E">
        <w:rPr>
          <w:rFonts w:asciiTheme="minorHAnsi" w:hAnsiTheme="minorHAnsi" w:cstheme="minorHAnsi"/>
          <w:color w:val="auto"/>
        </w:rPr>
        <w:t>   </w:t>
      </w:r>
    </w:p>
    <w:p w14:paraId="4F196D29" w14:textId="7499AD8B" w:rsidR="00EF5992" w:rsidRPr="00B3622E" w:rsidRDefault="00310C2C" w:rsidP="00B82077">
      <w:r w:rsidRPr="00B3622E">
        <w:t>El</w:t>
      </w:r>
      <w:r w:rsidR="006B79A9" w:rsidRPr="00B3622E">
        <w:t xml:space="preserve">even hazards were identified as having the potential to impact patient safety for </w:t>
      </w:r>
      <w:r w:rsidR="00DA0367" w:rsidRPr="00B3622E">
        <w:t xml:space="preserve">NIR </w:t>
      </w:r>
      <w:r w:rsidR="006B79A9" w:rsidRPr="00B3622E">
        <w:t xml:space="preserve">users. Where available, additional risk controls have been applied and documented; however, some of these depend on the Client implementing the measures </w:t>
      </w:r>
      <w:r w:rsidR="004C45AF" w:rsidRPr="00B3622E">
        <w:t xml:space="preserve">as </w:t>
      </w:r>
      <w:r w:rsidR="006B79A9" w:rsidRPr="00B3622E">
        <w:t xml:space="preserve">outlined in the Hazard Log </w:t>
      </w:r>
      <w:r w:rsidR="008D2428" w:rsidRPr="00B3622E">
        <w:t>(</w:t>
      </w:r>
      <w:r w:rsidR="006B79A9" w:rsidRPr="00B3622E">
        <w:t xml:space="preserve">Ref </w:t>
      </w:r>
      <w:r w:rsidR="001870CC" w:rsidRPr="00B3622E">
        <w:t>3</w:t>
      </w:r>
      <w:r w:rsidR="008D2428" w:rsidRPr="00B3622E">
        <w:t>)</w:t>
      </w:r>
      <w:r w:rsidR="006B79A9" w:rsidRPr="00B3622E">
        <w:t xml:space="preserve">. </w:t>
      </w:r>
      <w:r w:rsidR="004C45AF" w:rsidRPr="00B3622E">
        <w:t xml:space="preserve">These are recorded as </w:t>
      </w:r>
      <w:r w:rsidR="00773782" w:rsidRPr="00B3622E">
        <w:t>DCB 0160</w:t>
      </w:r>
      <w:r w:rsidR="004C45AF" w:rsidRPr="00B3622E">
        <w:t xml:space="preserve"> Control</w:t>
      </w:r>
      <w:r w:rsidR="00EF5992" w:rsidRPr="00B3622E">
        <w:t xml:space="preserve"> Recommendations</w:t>
      </w:r>
      <w:r w:rsidR="004C45AF" w:rsidRPr="00B3622E">
        <w:t xml:space="preserve"> and </w:t>
      </w:r>
      <w:r w:rsidR="00EF5992" w:rsidRPr="00B3622E">
        <w:t>are</w:t>
      </w:r>
      <w:r w:rsidR="006B79A9" w:rsidRPr="00B3622E">
        <w:t xml:space="preserve"> set out in Appendix B of this report. </w:t>
      </w:r>
    </w:p>
    <w:p w14:paraId="72F6C4A6" w14:textId="597F9F7A" w:rsidR="00B87C5A" w:rsidRPr="00B3622E" w:rsidRDefault="00904DA1" w:rsidP="00B82077">
      <w:r w:rsidRPr="00B3622E">
        <w:t xml:space="preserve">The risk control methodology </w:t>
      </w:r>
      <w:r w:rsidR="006B79A9" w:rsidRPr="00B3622E">
        <w:t xml:space="preserve">follows the </w:t>
      </w:r>
      <w:r w:rsidR="006B79A9" w:rsidRPr="00B3622E">
        <w:rPr>
          <w:i/>
          <w:iCs/>
        </w:rPr>
        <w:t>As Far As Possible (AFAP)</w:t>
      </w:r>
      <w:r w:rsidR="006B79A9" w:rsidRPr="00B3622E">
        <w:t xml:space="preserve"> principle</w:t>
      </w:r>
      <w:r w:rsidR="0095409E" w:rsidRPr="00B3622E">
        <w:t>,</w:t>
      </w:r>
      <w:r w:rsidRPr="00B3622E">
        <w:t xml:space="preserve"> taken from </w:t>
      </w:r>
      <w:r w:rsidR="00670F1D" w:rsidRPr="00B3622E">
        <w:t>ISO</w:t>
      </w:r>
      <w:r w:rsidR="0095409E" w:rsidRPr="00B3622E">
        <w:t xml:space="preserve"> 14971</w:t>
      </w:r>
      <w:r w:rsidR="0095409E" w:rsidRPr="00B3622E">
        <w:rPr>
          <w:rStyle w:val="FootnoteReference"/>
          <w:rFonts w:asciiTheme="minorHAnsi" w:hAnsiTheme="minorHAnsi" w:cstheme="minorHAnsi"/>
          <w:color w:val="auto"/>
        </w:rPr>
        <w:footnoteReference w:id="2"/>
      </w:r>
      <w:r w:rsidR="006B79A9" w:rsidRPr="00B3622E">
        <w:t xml:space="preserve"> (see Figure 3), which requires each risk to be assessed individually and mitigated to the lowest practicable level. The AFAP approach forms the basis of the NHS clinical risk management standards </w:t>
      </w:r>
      <w:r w:rsidR="006B79A9" w:rsidRPr="00B3622E">
        <w:rPr>
          <w:b/>
          <w:bCs/>
        </w:rPr>
        <w:t>DCB0129</w:t>
      </w:r>
      <w:r w:rsidR="006B79A9" w:rsidRPr="00B3622E">
        <w:t xml:space="preserve"> and </w:t>
      </w:r>
      <w:r w:rsidR="006B79A9" w:rsidRPr="00B3622E">
        <w:rPr>
          <w:b/>
          <w:bCs/>
        </w:rPr>
        <w:t>DCB0160</w:t>
      </w:r>
      <w:r w:rsidR="006B79A9" w:rsidRPr="00B3622E">
        <w:t xml:space="preserve">. The specific design, training, and business process controls applied to </w:t>
      </w:r>
      <w:r w:rsidR="00773782" w:rsidRPr="00B3622E">
        <w:t>NIR</w:t>
      </w:r>
      <w:r w:rsidR="006B79A9" w:rsidRPr="00B3622E">
        <w:t xml:space="preserve"> are detailed in the Hazard Log </w:t>
      </w:r>
      <w:r w:rsidR="00882250" w:rsidRPr="00B3622E">
        <w:t>(</w:t>
      </w:r>
      <w:r w:rsidR="006B79A9" w:rsidRPr="00B3622E">
        <w:t xml:space="preserve">Ref </w:t>
      </w:r>
      <w:r w:rsidR="001870CC" w:rsidRPr="00B3622E">
        <w:t>3</w:t>
      </w:r>
      <w:r w:rsidR="00882250" w:rsidRPr="00B3622E">
        <w:t>)</w:t>
      </w:r>
      <w:r w:rsidR="006B79A9" w:rsidRPr="00B3622E">
        <w:t>, where the overall risk assessment and Client safety controls are fully recorded.</w:t>
      </w:r>
    </w:p>
    <w:p w14:paraId="44C560D0" w14:textId="5F0C3915" w:rsidR="00337B3B" w:rsidRPr="00BD7FB4" w:rsidRDefault="00337B3B" w:rsidP="00034176">
      <w:pPr>
        <w:spacing w:line="276" w:lineRule="auto"/>
        <w:rPr>
          <w:rFonts w:asciiTheme="minorHAnsi" w:hAnsiTheme="minorHAnsi" w:cstheme="minorHAnsi"/>
          <w:color w:val="auto"/>
          <w:sz w:val="22"/>
          <w:szCs w:val="22"/>
        </w:rPr>
      </w:pPr>
      <w:r w:rsidRPr="00BD7FB4">
        <w:rPr>
          <w:noProof/>
          <w:color w:val="0070C0"/>
        </w:rPr>
        <w:drawing>
          <wp:inline distT="0" distB="0" distL="0" distR="0" wp14:anchorId="3BEF8B91" wp14:editId="655F4963">
            <wp:extent cx="4764604" cy="2950234"/>
            <wp:effectExtent l="0" t="0" r="0" b="2540"/>
            <wp:docPr id="22"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4849545" cy="3002829"/>
                    </a:xfrm>
                    <a:prstGeom prst="rect">
                      <a:avLst/>
                    </a:prstGeom>
                  </pic:spPr>
                </pic:pic>
              </a:graphicData>
            </a:graphic>
          </wp:inline>
        </w:drawing>
      </w:r>
    </w:p>
    <w:p w14:paraId="04DAE767" w14:textId="51D27C50" w:rsidR="00A96699" w:rsidRDefault="00A96699" w:rsidP="00A96699">
      <w:pPr>
        <w:pStyle w:val="Caption"/>
        <w:keepNext/>
        <w:jc w:val="center"/>
      </w:pPr>
      <w:bookmarkStart w:id="38" w:name="_Toc214376926"/>
      <w:r w:rsidRPr="00BD7FB4">
        <w:lastRenderedPageBreak/>
        <w:t xml:space="preserve">Figure </w:t>
      </w:r>
      <w:r>
        <w:fldChar w:fldCharType="begin"/>
      </w:r>
      <w:r>
        <w:instrText>SEQ Figure \* ARABIC</w:instrText>
      </w:r>
      <w:r>
        <w:fldChar w:fldCharType="separate"/>
      </w:r>
      <w:r w:rsidR="00135778">
        <w:rPr>
          <w:noProof/>
        </w:rPr>
        <w:t>5</w:t>
      </w:r>
      <w:r>
        <w:fldChar w:fldCharType="end"/>
      </w:r>
      <w:r w:rsidRPr="00BD7FB4">
        <w:t xml:space="preserve"> - As Far As Possible Approach</w:t>
      </w:r>
      <w:bookmarkEnd w:id="38"/>
    </w:p>
    <w:p w14:paraId="2D8A7A3E" w14:textId="77777777" w:rsidR="00B87C5A" w:rsidRDefault="00B87C5A" w:rsidP="00105D26">
      <w:pPr>
        <w:pStyle w:val="Heading2"/>
        <w:rPr>
          <w:lang w:eastAsia="en-GB"/>
        </w:rPr>
      </w:pPr>
      <w:bookmarkStart w:id="39" w:name="_Toc214870530"/>
      <w:r>
        <w:rPr>
          <w:lang w:eastAsia="en-GB"/>
        </w:rPr>
        <w:t>NIR Development Process Summary</w:t>
      </w:r>
      <w:bookmarkEnd w:id="39"/>
    </w:p>
    <w:p w14:paraId="348071DE" w14:textId="77777777" w:rsidR="00B87C5A" w:rsidRPr="00B3622E" w:rsidRDefault="00B87C5A" w:rsidP="00B3622E">
      <w:pPr>
        <w:spacing w:line="276" w:lineRule="auto"/>
        <w:rPr>
          <w:lang w:eastAsia="en-GB"/>
        </w:rPr>
      </w:pPr>
      <w:r w:rsidRPr="00B3622E">
        <w:rPr>
          <w:lang w:eastAsia="en-GB"/>
        </w:rPr>
        <w:t>The development of the National Image Registry (NIR) follows a structured, evidence-led approach that integrates technical assurance, clinical safety, and programme governance throughout the product lifecycle. The process has been defined within NHS England’s Clinical Safety Management System (CSMS) and reflects the principles of DCB 0129, ISO 14971, and NHS software assurance best practice.</w:t>
      </w:r>
    </w:p>
    <w:p w14:paraId="3E9D2738" w14:textId="415961CA" w:rsidR="00B87C5A" w:rsidRPr="00B3622E" w:rsidRDefault="00B87C5A" w:rsidP="00B3622E">
      <w:pPr>
        <w:spacing w:line="276" w:lineRule="auto"/>
        <w:rPr>
          <w:lang w:eastAsia="en-GB"/>
        </w:rPr>
      </w:pPr>
      <w:r w:rsidRPr="00B3622E">
        <w:rPr>
          <w:lang w:eastAsia="en-GB"/>
        </w:rPr>
        <w:t xml:space="preserve">The NIR has been developed as a federated digital service, enabling image discovery and retrieval across NHS </w:t>
      </w:r>
      <w:r w:rsidR="000B4F22">
        <w:rPr>
          <w:lang w:eastAsia="en-GB"/>
        </w:rPr>
        <w:t>providers / organisations</w:t>
      </w:r>
      <w:r w:rsidRPr="00B3622E">
        <w:rPr>
          <w:lang w:eastAsia="en-GB"/>
        </w:rPr>
        <w:t xml:space="preserve"> while maintaining data ownership and storage within local PACS and VNAs. The programme adopts a phased development and deployment model, allowing each stage of implementation to be evaluated, validated, and assured independently before national </w:t>
      </w:r>
      <w:r w:rsidRPr="00B3622E">
        <w:rPr>
          <w:color w:val="auto"/>
          <w:lang w:eastAsia="en-GB"/>
        </w:rPr>
        <w:t xml:space="preserve">rollout. </w:t>
      </w:r>
      <w:r w:rsidR="00834EE9" w:rsidRPr="00B3622E">
        <w:rPr>
          <w:rFonts w:asciiTheme="minorHAnsi" w:hAnsiTheme="minorHAnsi" w:cstheme="minorBidi"/>
          <w:color w:val="auto"/>
        </w:rPr>
        <w:t>Discovery &amp; Report Retrieval and Image retrieval for the XCA endpoint</w:t>
      </w:r>
      <w:r w:rsidRPr="00B3622E">
        <w:rPr>
          <w:color w:val="auto"/>
          <w:lang w:eastAsia="en-GB"/>
        </w:rPr>
        <w:t xml:space="preserve">, covered by this Clinical Safety Case, represent the establishment and national scaling of the core technical and governance </w:t>
      </w:r>
      <w:r w:rsidRPr="00B3622E">
        <w:rPr>
          <w:lang w:eastAsia="en-GB"/>
        </w:rPr>
        <w:t>components.</w:t>
      </w:r>
    </w:p>
    <w:p w14:paraId="2DF65374" w14:textId="77777777" w:rsidR="00B87C5A" w:rsidRPr="00B3622E" w:rsidRDefault="00B87C5A" w:rsidP="00B3622E">
      <w:pPr>
        <w:spacing w:line="276" w:lineRule="auto"/>
        <w:rPr>
          <w:lang w:eastAsia="en-GB"/>
        </w:rPr>
      </w:pPr>
      <w:r w:rsidRPr="00B3622E">
        <w:rPr>
          <w:lang w:eastAsia="en-GB"/>
        </w:rPr>
        <w:t>Development has followed an iterative and agile methodology, coordinated by NHS England’s Digital Delivery and Imaging Transformation teams. Each development cycle begins with requirements definition and stakeholder engagement, including input from radiologists, system architects, data governance leads, and the Clinical Safety Officer (CSO). Functional and non-functional requirements are reviewed for clinical safety relevance, information governance implications, and interoperability compliance.</w:t>
      </w:r>
    </w:p>
    <w:p w14:paraId="5DEC6740" w14:textId="77777777" w:rsidR="00B87C5A" w:rsidRPr="00B3622E" w:rsidRDefault="00B87C5A" w:rsidP="00B3622E">
      <w:pPr>
        <w:spacing w:line="276" w:lineRule="auto"/>
        <w:rPr>
          <w:lang w:eastAsia="en-GB"/>
        </w:rPr>
      </w:pPr>
      <w:r w:rsidRPr="00B3622E">
        <w:rPr>
          <w:lang w:eastAsia="en-GB"/>
        </w:rPr>
        <w:t>The solution design and build phase involves collaboration between NHS England’s internal engineering teams and external suppliers, all operating under DCB 0160-compliant development frameworks. Technical design documents, data flow diagrams, and interface specifications are produced and reviewed through formal design assurance sessions. Clinical safety review is embedded in this process, with the CSO and safety engineer assessing proposed functionality against known hazard categories and safety requirements.</w:t>
      </w:r>
    </w:p>
    <w:p w14:paraId="5141E17C" w14:textId="77777777" w:rsidR="00B87C5A" w:rsidRPr="00B3622E" w:rsidRDefault="00B87C5A" w:rsidP="00B3622E">
      <w:pPr>
        <w:spacing w:line="276" w:lineRule="auto"/>
        <w:rPr>
          <w:lang w:eastAsia="en-GB"/>
        </w:rPr>
      </w:pPr>
      <w:r w:rsidRPr="00B3622E">
        <w:rPr>
          <w:lang w:eastAsia="en-GB"/>
        </w:rPr>
        <w:t>During the testing phase, a comprehensive verification and validation strategy is applied. This includes component testing, integration testing, and end-to-end workflow testing across multiple supplier environments. Negative and boundary tests are executed to verify safe failure modes, data validation, and user access behaviour. All testing is supported by traceability back to the Hazard Log, ensuring that each identified risk control is verified by objective evidence.</w:t>
      </w:r>
    </w:p>
    <w:p w14:paraId="677426B7" w14:textId="77777777" w:rsidR="00B87C5A" w:rsidRPr="00B3622E" w:rsidRDefault="00B87C5A" w:rsidP="00B3622E">
      <w:pPr>
        <w:spacing w:line="276" w:lineRule="auto"/>
        <w:rPr>
          <w:lang w:eastAsia="en-GB"/>
        </w:rPr>
      </w:pPr>
      <w:r w:rsidRPr="00B3622E">
        <w:rPr>
          <w:lang w:eastAsia="en-GB"/>
        </w:rPr>
        <w:t>Following successful testing, the release process involves a multi-layered assurance and approval cycle. The Clinical Safety Officer reviews the updated Hazard Log, test evidence, and safety documentation to confirm that all residual risks are As Low As Reasonably Practicable (ALARP). The Programme Board then formally approves the release for deployment, supported by documented sign-off records stored in the Clinical Risk Management File (CRMF).</w:t>
      </w:r>
    </w:p>
    <w:p w14:paraId="6DFE1E0F" w14:textId="18004A6C" w:rsidR="00B87C5A" w:rsidRPr="00B3622E" w:rsidRDefault="00B87C5A" w:rsidP="00B3622E">
      <w:pPr>
        <w:spacing w:line="276" w:lineRule="auto"/>
        <w:rPr>
          <w:lang w:eastAsia="en-GB"/>
        </w:rPr>
      </w:pPr>
      <w:r w:rsidRPr="00B3622E">
        <w:rPr>
          <w:lang w:eastAsia="en-GB"/>
        </w:rPr>
        <w:t xml:space="preserve">Once deployed, the NIR undergoes continuous monitoring and iterative enhancement. Live service data, user feedback, and incident reports are reviewed through structured governance meetings, feeding into subsequent </w:t>
      </w:r>
      <w:r w:rsidR="00834EE9" w:rsidRPr="00B3622E">
        <w:rPr>
          <w:lang w:eastAsia="en-GB"/>
        </w:rPr>
        <w:t>iterations</w:t>
      </w:r>
      <w:r w:rsidRPr="00B3622E">
        <w:rPr>
          <w:lang w:eastAsia="en-GB"/>
        </w:rPr>
        <w:t xml:space="preserve"> of development. Each significant </w:t>
      </w:r>
      <w:r w:rsidRPr="00B3622E">
        <w:rPr>
          <w:lang w:eastAsia="en-GB"/>
        </w:rPr>
        <w:lastRenderedPageBreak/>
        <w:t>change or new capability undergoes a clinical safety impact assessment, ensuring that ongoing development maintains alignment with the DCB 0129 safety case.</w:t>
      </w:r>
    </w:p>
    <w:p w14:paraId="65367CDE" w14:textId="5E7D4D15" w:rsidR="00D65BDC" w:rsidRPr="00B3622E" w:rsidRDefault="00B87C5A" w:rsidP="00B3622E">
      <w:pPr>
        <w:spacing w:line="276" w:lineRule="auto"/>
        <w:rPr>
          <w:lang w:eastAsia="en-GB"/>
        </w:rPr>
      </w:pPr>
      <w:r w:rsidRPr="00B3622E">
        <w:rPr>
          <w:lang w:eastAsia="en-GB"/>
        </w:rPr>
        <w:t>The NIR development process therefore integrates technical, operational, and clinical perspectives within a single assurance framework. By embedding clinical safety into each stage</w:t>
      </w:r>
      <w:r w:rsidR="00834EE9" w:rsidRPr="00B3622E">
        <w:rPr>
          <w:lang w:eastAsia="en-GB"/>
        </w:rPr>
        <w:t xml:space="preserve"> </w:t>
      </w:r>
      <w:r w:rsidRPr="00B3622E">
        <w:rPr>
          <w:lang w:eastAsia="en-GB"/>
        </w:rPr>
        <w:t>from concept through design, testing, and deployment</w:t>
      </w:r>
      <w:r w:rsidR="00834EE9" w:rsidRPr="00B3622E">
        <w:rPr>
          <w:lang w:eastAsia="en-GB"/>
        </w:rPr>
        <w:t xml:space="preserve"> </w:t>
      </w:r>
      <w:r w:rsidRPr="00B3622E">
        <w:rPr>
          <w:lang w:eastAsia="en-GB"/>
        </w:rPr>
        <w:t>the programme ensures that the resulting system is robust, interoperable, and safe for national clinical use within its defined scope.</w:t>
      </w:r>
    </w:p>
    <w:p w14:paraId="72837A26" w14:textId="77777777" w:rsidR="0088086A" w:rsidRDefault="0088086A" w:rsidP="00B87C5A">
      <w:pPr>
        <w:rPr>
          <w:lang w:eastAsia="en-GB"/>
        </w:rPr>
      </w:pPr>
    </w:p>
    <w:p w14:paraId="1C8B3ABC" w14:textId="09FBE5F5" w:rsidR="00500030" w:rsidRDefault="00500030" w:rsidP="00105D26">
      <w:pPr>
        <w:pStyle w:val="Heading2"/>
      </w:pPr>
      <w:bookmarkStart w:id="40" w:name="_Toc214870531"/>
      <w:bookmarkStart w:id="41" w:name="_Toc94530042"/>
      <w:bookmarkStart w:id="42" w:name="_Toc97223498"/>
      <w:bookmarkStart w:id="43" w:name="_Toc101805252"/>
      <w:r>
        <w:t>Hazard Controls</w:t>
      </w:r>
      <w:bookmarkEnd w:id="40"/>
    </w:p>
    <w:p w14:paraId="4E16D781" w14:textId="757AFAAB" w:rsidR="00890D39" w:rsidRPr="00B3622E" w:rsidRDefault="00890D39" w:rsidP="00B3622E">
      <w:pPr>
        <w:spacing w:line="276" w:lineRule="auto"/>
        <w:rPr>
          <w:rFonts w:asciiTheme="minorHAnsi" w:hAnsiTheme="minorHAnsi" w:cstheme="minorHAnsi"/>
          <w:color w:val="auto"/>
        </w:rPr>
      </w:pPr>
      <w:r w:rsidRPr="00B3622E">
        <w:rPr>
          <w:rFonts w:asciiTheme="minorHAnsi" w:hAnsiTheme="minorHAnsi" w:cstheme="minorHAnsi"/>
        </w:rPr>
        <w:t>Clinical risks identified in the development and implementation of the National Image Registry (NIR) have been managed through a carefully structured series of design, operational, and governance controls. These controls, drawn from the NIR Hazard Log (version 1.</w:t>
      </w:r>
      <w:r w:rsidR="001B23A7" w:rsidRPr="00B3622E">
        <w:rPr>
          <w:rFonts w:asciiTheme="minorHAnsi" w:hAnsiTheme="minorHAnsi" w:cstheme="minorHAnsi"/>
        </w:rPr>
        <w:t>3</w:t>
      </w:r>
      <w:r w:rsidRPr="00B3622E">
        <w:rPr>
          <w:rFonts w:asciiTheme="minorHAnsi" w:hAnsiTheme="minorHAnsi" w:cstheme="minorHAnsi"/>
        </w:rPr>
        <w:t xml:space="preserve">), were categorised under System Design and Testing (SDT), User Training and Guidance (UT), and Business and Operational Processes (BOP). Together they demonstrate that all identified risks associated with the NIR’s federated architecture and image retrieval capability have been reduced to a level that is </w:t>
      </w:r>
      <w:r w:rsidRPr="00B3622E">
        <w:rPr>
          <w:rFonts w:asciiTheme="minorHAnsi" w:hAnsiTheme="minorHAnsi" w:cstheme="minorHAnsi"/>
          <w:i/>
          <w:iCs/>
        </w:rPr>
        <w:t>As Low As Reasonably Practicable</w:t>
      </w:r>
      <w:r w:rsidRPr="00B3622E">
        <w:rPr>
          <w:rFonts w:asciiTheme="minorHAnsi" w:hAnsiTheme="minorHAnsi" w:cstheme="minorHAnsi"/>
        </w:rPr>
        <w:t xml:space="preserve"> (ALARP). The </w:t>
      </w:r>
      <w:r w:rsidRPr="00B3622E">
        <w:rPr>
          <w:rFonts w:asciiTheme="minorHAnsi" w:hAnsiTheme="minorHAnsi" w:cstheme="minorHAnsi"/>
          <w:color w:val="auto"/>
        </w:rPr>
        <w:t xml:space="preserve">controls are implemented consistently across </w:t>
      </w:r>
      <w:r w:rsidR="00160E70" w:rsidRPr="00B3622E">
        <w:rPr>
          <w:rFonts w:asciiTheme="minorHAnsi" w:hAnsiTheme="minorHAnsi" w:cstheme="minorHAnsi"/>
          <w:color w:val="auto"/>
        </w:rPr>
        <w:t xml:space="preserve">NIR </w:t>
      </w:r>
      <w:r w:rsidR="0088086A" w:rsidRPr="00B3622E">
        <w:rPr>
          <w:rFonts w:asciiTheme="minorHAnsi" w:hAnsiTheme="minorHAnsi" w:cstheme="minorHAnsi"/>
          <w:color w:val="auto"/>
        </w:rPr>
        <w:t>Discovery &amp; Report Retrieval and Image retrieval for the XCA endpoint</w:t>
      </w:r>
      <w:r w:rsidRPr="00B3622E">
        <w:rPr>
          <w:rFonts w:asciiTheme="minorHAnsi" w:hAnsiTheme="minorHAnsi" w:cstheme="minorHAnsi"/>
          <w:color w:val="auto"/>
        </w:rPr>
        <w:t xml:space="preserve">, providing a safety baseline that can be extended in future </w:t>
      </w:r>
      <w:r w:rsidR="00160E70" w:rsidRPr="00B3622E">
        <w:rPr>
          <w:rFonts w:asciiTheme="minorHAnsi" w:hAnsiTheme="minorHAnsi" w:cstheme="minorHAnsi"/>
          <w:color w:val="auto"/>
        </w:rPr>
        <w:t>iterations</w:t>
      </w:r>
      <w:r w:rsidRPr="00B3622E">
        <w:rPr>
          <w:rFonts w:asciiTheme="minorHAnsi" w:hAnsiTheme="minorHAnsi" w:cstheme="minorHAnsi"/>
          <w:color w:val="auto"/>
        </w:rPr>
        <w:t>.</w:t>
      </w:r>
    </w:p>
    <w:p w14:paraId="02019524" w14:textId="77777777" w:rsidR="00C36837" w:rsidRPr="00B3622E" w:rsidRDefault="00C36837"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Implementation of these controls is verified through the NIR onboarding model, which includes:</w:t>
      </w:r>
    </w:p>
    <w:p w14:paraId="11C32554" w14:textId="77777777" w:rsidR="00C36837" w:rsidRPr="00B3622E" w:rsidRDefault="00C36837"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 Structured onboarding aligned to the NHS England Digital Onboarding Service (DOS)</w:t>
      </w:r>
      <w:r w:rsidRPr="00B3622E">
        <w:rPr>
          <w:rFonts w:asciiTheme="minorHAnsi" w:hAnsiTheme="minorHAnsi" w:cstheme="minorHAnsi"/>
          <w:color w:val="auto"/>
          <w:lang w:eastAsia="en-GB"/>
        </w:rPr>
        <w:br/>
        <w:t>• Completion and submission of a deployment Safety Form</w:t>
      </w:r>
      <w:r w:rsidRPr="00B3622E">
        <w:rPr>
          <w:rFonts w:asciiTheme="minorHAnsi" w:hAnsiTheme="minorHAnsi" w:cstheme="minorHAnsi"/>
          <w:color w:val="auto"/>
          <w:lang w:eastAsia="en-GB"/>
        </w:rPr>
        <w:br/>
        <w:t>• Formal Clinical Safety Officer (CSO) declaration</w:t>
      </w:r>
      <w:r w:rsidRPr="00B3622E">
        <w:rPr>
          <w:rFonts w:asciiTheme="minorHAnsi" w:hAnsiTheme="minorHAnsi" w:cstheme="minorHAnsi"/>
          <w:color w:val="auto"/>
          <w:lang w:eastAsia="en-GB"/>
        </w:rPr>
        <w:br/>
        <w:t>• Review and approval by the NIR Onboarding Governance Group</w:t>
      </w:r>
    </w:p>
    <w:p w14:paraId="067BB12F" w14:textId="77777777" w:rsidR="00C36837" w:rsidRPr="00B3622E" w:rsidRDefault="00C36837"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This ensures that deployment safety is actively validated and not based solely on documentation or assumption of compliance.</w:t>
      </w:r>
    </w:p>
    <w:p w14:paraId="3E5BFA6B" w14:textId="77777777" w:rsidR="002C762F" w:rsidRPr="00890D39" w:rsidRDefault="002C762F" w:rsidP="00890D39"/>
    <w:p w14:paraId="27C892E1" w14:textId="49E620F5" w:rsidR="00CE1483" w:rsidRPr="001E0AF6" w:rsidRDefault="00CE1483" w:rsidP="00B3622E">
      <w:pPr>
        <w:pStyle w:val="Heading3"/>
      </w:pPr>
      <w:r w:rsidRPr="001E0AF6">
        <w:t>Design</w:t>
      </w:r>
      <w:bookmarkEnd w:id="41"/>
      <w:bookmarkEnd w:id="42"/>
      <w:bookmarkEnd w:id="43"/>
      <w:r w:rsidR="000B2E53" w:rsidRPr="001E0AF6">
        <w:t xml:space="preserve"> Controls</w:t>
      </w:r>
    </w:p>
    <w:p w14:paraId="07622AF0" w14:textId="650344C7" w:rsidR="004E4D42" w:rsidRPr="002846C2" w:rsidRDefault="004E4D42" w:rsidP="00B3622E">
      <w:pPr>
        <w:spacing w:after="160" w:line="276" w:lineRule="auto"/>
      </w:pPr>
      <w:bookmarkStart w:id="44" w:name="_Toc94530043"/>
      <w:r w:rsidRPr="002846C2">
        <w:t>The NIR’s system design represents the foundation of its clinical safety framework. It has been deliberately engineered to reduce risk through the principle of inherent safety by design. The system operates as a federated registry, meaning that clinical images are never duplicated or migrated to a central repository. Instead, the NIR maintains a catalogue of metadata and secure reference pointers to images that remain stored within their originating Picture Archiving and Communication Systems (PACS) or Vendor Neutral Archives (VNAs). This design ensures that the original imaging record remains authoritative, thereby preventing data inconsistency and the clinical risks associated with duplicate or outdated image copies</w:t>
      </w:r>
      <w:r w:rsidR="00D8730D">
        <w:t xml:space="preserve"> </w:t>
      </w:r>
      <w:r w:rsidR="00D8730D" w:rsidRPr="00D8730D">
        <w:t xml:space="preserve">as set out in the </w:t>
      </w:r>
      <w:r w:rsidR="00D8730D" w:rsidRPr="00F80A40">
        <w:t>NIR Solution Design Specification (v1.5)</w:t>
      </w:r>
      <w:r w:rsidR="00F80A40">
        <w:t xml:space="preserve"> (Ref </w:t>
      </w:r>
      <w:r w:rsidR="007A1481">
        <w:t>6</w:t>
      </w:r>
      <w:r w:rsidR="00F80A40">
        <w:t>)</w:t>
      </w:r>
      <w:r w:rsidRPr="00F80A40">
        <w:t>.</w:t>
      </w:r>
    </w:p>
    <w:p w14:paraId="5C15E88A" w14:textId="492CE77E" w:rsidR="004E4D42" w:rsidRPr="002846C2" w:rsidRDefault="004E4D42" w:rsidP="00B3622E">
      <w:pPr>
        <w:spacing w:after="160" w:line="276" w:lineRule="auto"/>
      </w:pPr>
      <w:r w:rsidRPr="002846C2">
        <w:t>To preserve data integrity and interoperability, all metadata entering the registry is validated against strict schema definitions derived from the IHE XDS and XCA standards</w:t>
      </w:r>
      <w:r w:rsidR="009A7FCD">
        <w:t xml:space="preserve"> (</w:t>
      </w:r>
      <w:r w:rsidR="002E3639">
        <w:t>Appx D</w:t>
      </w:r>
      <w:r w:rsidR="009A7FCD">
        <w:t>)</w:t>
      </w:r>
      <w:r w:rsidRPr="002846C2">
        <w:t>. These checks prevent incomplete, malformed, or non-compliant data from being registered. Access to the NIR is governed through federated identity and authentication mechanisms that employ NHS England’s Zero Trust security model</w:t>
      </w:r>
      <w:r w:rsidR="00624F87">
        <w:t xml:space="preserve"> </w:t>
      </w:r>
      <w:r w:rsidR="00847223">
        <w:t>-</w:t>
      </w:r>
      <w:r w:rsidR="00624F87">
        <w:t xml:space="preserve"> </w:t>
      </w:r>
      <w:r w:rsidR="00624F87" w:rsidRPr="00624F87">
        <w:t xml:space="preserve">NIR Security Architecture and </w:t>
      </w:r>
      <w:r w:rsidR="00624F87" w:rsidRPr="00624F87">
        <w:lastRenderedPageBreak/>
        <w:t>Controls Framework</w:t>
      </w:r>
      <w:r w:rsidR="00624F87">
        <w:t xml:space="preserve"> (Ref </w:t>
      </w:r>
      <w:r w:rsidR="002E3639">
        <w:t>30</w:t>
      </w:r>
      <w:r w:rsidR="00624F87">
        <w:t>)</w:t>
      </w:r>
      <w:r w:rsidRPr="002846C2">
        <w:t>. This ensures that only authenticated and authorised users, acting through approved clinical systems, can discover or retrieve imaging data.</w:t>
      </w:r>
    </w:p>
    <w:p w14:paraId="4F86EE8B" w14:textId="47D2836A" w:rsidR="004E4D42" w:rsidRDefault="004E4D42" w:rsidP="00B3622E">
      <w:pPr>
        <w:spacing w:after="160" w:line="276" w:lineRule="auto"/>
      </w:pPr>
      <w:r w:rsidRPr="002846C2">
        <w:t>Each transaction within the NIR, whether a metadata registration, a query, or an image retrieval request, is captured in comprehensive audit and transaction logs that provide full traceability</w:t>
      </w:r>
      <w:r w:rsidR="00B22596">
        <w:t xml:space="preserve"> </w:t>
      </w:r>
      <w:r w:rsidR="00B22596" w:rsidRPr="00B22596">
        <w:t>in accordance with the NIR Observability and Logging Strategy</w:t>
      </w:r>
      <w:r w:rsidR="00B22596">
        <w:t xml:space="preserve"> (Ref </w:t>
      </w:r>
      <w:r w:rsidR="004237C8">
        <w:t>8</w:t>
      </w:r>
      <w:r w:rsidR="00B22596">
        <w:t>)</w:t>
      </w:r>
      <w:r w:rsidRPr="002846C2">
        <w:t>. These logs are designed to support both operational forensics and clinical safety review, ensuring that any anomaly can be traced back to its source. The platform includes automated error-handling routines and retry logic to ensure that failed transactions do not generate misleading outputs or data loss</w:t>
      </w:r>
      <w:r w:rsidR="00774E71">
        <w:t xml:space="preserve">. </w:t>
      </w:r>
      <w:r w:rsidR="00774E71" w:rsidRPr="00774E71">
        <w:t>Error handling and retry logic are defined in the</w:t>
      </w:r>
      <w:r w:rsidR="009C77D5">
        <w:t xml:space="preserve"> </w:t>
      </w:r>
      <w:r w:rsidR="009C77D5" w:rsidRPr="009C77D5">
        <w:t>NIR Error Handling Framework</w:t>
      </w:r>
      <w:r w:rsidR="00774E71">
        <w:t xml:space="preserve"> (Ref </w:t>
      </w:r>
      <w:r w:rsidR="00120CF6">
        <w:t>9</w:t>
      </w:r>
      <w:r w:rsidR="00774E71">
        <w:t>)</w:t>
      </w:r>
      <w:r w:rsidRPr="002846C2">
        <w:t>. Should a retrieval operation fail, the system provides an explicit error response rather than partial data.</w:t>
      </w:r>
    </w:p>
    <w:p w14:paraId="72BD6D0C" w14:textId="34632AC5" w:rsidR="00543F06" w:rsidRPr="002846C2" w:rsidRDefault="00543F06" w:rsidP="00B3622E">
      <w:pPr>
        <w:spacing w:after="160" w:line="276" w:lineRule="auto"/>
      </w:pPr>
      <w:r w:rsidRPr="00543F06">
        <w:t xml:space="preserve">Network redundancy and load balancing ensure system availability, as verified during technical assurance testing </w:t>
      </w:r>
      <w:r w:rsidRPr="00BE351F">
        <w:t xml:space="preserve">and recorded in the </w:t>
      </w:r>
      <w:r w:rsidR="0011708F" w:rsidRPr="00BE351F">
        <w:t>system integration test reports</w:t>
      </w:r>
      <w:r w:rsidRPr="00543F06">
        <w:t>. These design features collectively ensure that data integrity, security, and reliability are maintained at all times.</w:t>
      </w:r>
    </w:p>
    <w:p w14:paraId="067A205E" w14:textId="77777777" w:rsidR="004E4D42" w:rsidRPr="002846C2" w:rsidRDefault="004E4D42" w:rsidP="00B3622E">
      <w:pPr>
        <w:spacing w:after="160" w:line="276" w:lineRule="auto"/>
      </w:pPr>
      <w:r w:rsidRPr="002846C2">
        <w:t>The system architecture incorporates redundancy, load-balancing, and failover controls designed to maintain performance under variable load and during component failure. These measures collectively ensure that the NIR provides reliable access to imaging data, avoiding the delays or information gaps that could compromise clinical decision-making.</w:t>
      </w:r>
    </w:p>
    <w:p w14:paraId="16420649" w14:textId="77777777" w:rsidR="001E0AF6" w:rsidRPr="00B3622E" w:rsidRDefault="001E0AF6" w:rsidP="00B3622E">
      <w:pPr>
        <w:pStyle w:val="Heading2"/>
      </w:pPr>
      <w:r w:rsidRPr="00B3622E">
        <w:t xml:space="preserve">Deployment Controls (DCB 0160) </w:t>
      </w:r>
    </w:p>
    <w:p w14:paraId="7DF7E7F2" w14:textId="77777777" w:rsidR="001E0AF6" w:rsidRPr="00B3622E" w:rsidRDefault="001E0AF6" w:rsidP="00B3622E">
      <w:pPr>
        <w:pStyle w:val="NormalWeb"/>
        <w:spacing w:after="0" w:line="276" w:lineRule="auto"/>
        <w:rPr>
          <w:rFonts w:asciiTheme="minorHAnsi" w:hAnsiTheme="minorHAnsi" w:cstheme="minorHAnsi"/>
        </w:rPr>
      </w:pPr>
      <w:r w:rsidRPr="00B3622E">
        <w:rPr>
          <w:rFonts w:asciiTheme="minorHAnsi" w:hAnsiTheme="minorHAnsi" w:cstheme="minorHAnsi"/>
        </w:rPr>
        <w:t>In addition to system design controls, a set of deployment-specific controls are required under DCB0160 to ensure safe clinical use of NIR. These include, but are not limited to:</w:t>
      </w:r>
    </w:p>
    <w:p w14:paraId="2A8A2F6B" w14:textId="77777777" w:rsidR="001E0AF6" w:rsidRPr="00B3622E" w:rsidRDefault="001E0AF6" w:rsidP="00B3622E">
      <w:pPr>
        <w:pStyle w:val="NormalWeb"/>
        <w:spacing w:after="0" w:line="276" w:lineRule="auto"/>
        <w:rPr>
          <w:rFonts w:asciiTheme="minorHAnsi" w:hAnsiTheme="minorHAnsi" w:cstheme="minorHAnsi"/>
        </w:rPr>
      </w:pPr>
      <w:r w:rsidRPr="00B3622E">
        <w:rPr>
          <w:rFonts w:asciiTheme="minorHAnsi" w:hAnsiTheme="minorHAnsi" w:cstheme="minorHAnsi"/>
        </w:rPr>
        <w:t>• Local fallback procedures for imaging retrieval failure</w:t>
      </w:r>
      <w:r w:rsidRPr="00B3622E">
        <w:rPr>
          <w:rFonts w:asciiTheme="minorHAnsi" w:hAnsiTheme="minorHAnsi" w:cstheme="minorHAnsi"/>
        </w:rPr>
        <w:br/>
        <w:t>• Clinical user training on NIR functionality and limitations</w:t>
      </w:r>
      <w:r w:rsidRPr="00B3622E">
        <w:rPr>
          <w:rFonts w:asciiTheme="minorHAnsi" w:hAnsiTheme="minorHAnsi" w:cstheme="minorHAnsi"/>
        </w:rPr>
        <w:br/>
        <w:t>• Role-based access control (RBAC) and identity governance</w:t>
      </w:r>
      <w:r w:rsidRPr="00B3622E">
        <w:rPr>
          <w:rFonts w:asciiTheme="minorHAnsi" w:hAnsiTheme="minorHAnsi" w:cstheme="minorHAnsi"/>
        </w:rPr>
        <w:br/>
        <w:t>• Audit logging and monitoring of user activity</w:t>
      </w:r>
      <w:r w:rsidRPr="00B3622E">
        <w:rPr>
          <w:rFonts w:asciiTheme="minorHAnsi" w:hAnsiTheme="minorHAnsi" w:cstheme="minorHAnsi"/>
        </w:rPr>
        <w:br/>
        <w:t>• Local incident management and escalation processes</w:t>
      </w:r>
      <w:r w:rsidRPr="00B3622E">
        <w:rPr>
          <w:rFonts w:asciiTheme="minorHAnsi" w:hAnsiTheme="minorHAnsi" w:cstheme="minorHAnsi"/>
        </w:rPr>
        <w:br/>
        <w:t>• Certificate lifecycle management and system configuration controls</w:t>
      </w:r>
    </w:p>
    <w:p w14:paraId="7CF55660" w14:textId="5ABFF129" w:rsidR="00D92C32" w:rsidRPr="00B3622E" w:rsidRDefault="001E0AF6" w:rsidP="00B3622E">
      <w:pPr>
        <w:pStyle w:val="NormalWeb"/>
        <w:spacing w:after="0" w:line="276" w:lineRule="auto"/>
        <w:rPr>
          <w:rFonts w:asciiTheme="minorHAnsi" w:hAnsiTheme="minorHAnsi" w:cstheme="minorHAnsi"/>
        </w:rPr>
      </w:pPr>
      <w:r w:rsidRPr="00B3622E">
        <w:rPr>
          <w:rFonts w:asciiTheme="minorHAnsi" w:hAnsiTheme="minorHAnsi" w:cstheme="minorHAnsi"/>
        </w:rPr>
        <w:t xml:space="preserve">These controls are not enforced through system design but are mandatory for safe </w:t>
      </w:r>
      <w:r w:rsidR="00D92C32" w:rsidRPr="00B3622E">
        <w:rPr>
          <w:rFonts w:asciiTheme="minorHAnsi" w:hAnsiTheme="minorHAnsi" w:cstheme="minorHAnsi"/>
        </w:rPr>
        <w:t>deployment.</w:t>
      </w:r>
      <w:r w:rsidR="00D92C32" w:rsidRPr="00B3622E">
        <w:rPr>
          <w:rFonts w:asciiTheme="minorHAnsi" w:hAnsiTheme="minorHAnsi" w:cstheme="minorHAnsi"/>
          <w:color w:val="auto"/>
          <w:lang w:eastAsia="en-GB"/>
        </w:rPr>
        <w:t xml:space="preserve"> Implementation of these controls is verified through the NIR onboarding process, which includes:</w:t>
      </w:r>
    </w:p>
    <w:p w14:paraId="6AFF9217" w14:textId="77777777" w:rsidR="00D92C32" w:rsidRPr="00B3622E" w:rsidRDefault="00D92C32"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 Structured onboarding aligned to the NHS England Digital Onboarding Service (DOS)</w:t>
      </w:r>
      <w:r w:rsidRPr="00B3622E">
        <w:rPr>
          <w:rFonts w:asciiTheme="minorHAnsi" w:hAnsiTheme="minorHAnsi" w:cstheme="minorHAnsi"/>
          <w:color w:val="auto"/>
          <w:lang w:eastAsia="en-GB"/>
        </w:rPr>
        <w:br/>
        <w:t>• Completion and submission of a deployment Safety Form</w:t>
      </w:r>
      <w:r w:rsidRPr="00B3622E">
        <w:rPr>
          <w:rFonts w:asciiTheme="minorHAnsi" w:hAnsiTheme="minorHAnsi" w:cstheme="minorHAnsi"/>
          <w:color w:val="auto"/>
          <w:lang w:eastAsia="en-GB"/>
        </w:rPr>
        <w:br/>
        <w:t>• Formal Clinical Safety Officer (CSO) declaration</w:t>
      </w:r>
      <w:r w:rsidRPr="00B3622E">
        <w:rPr>
          <w:rFonts w:asciiTheme="minorHAnsi" w:hAnsiTheme="minorHAnsi" w:cstheme="minorHAnsi"/>
          <w:color w:val="auto"/>
          <w:lang w:eastAsia="en-GB"/>
        </w:rPr>
        <w:br/>
        <w:t>• Review and approval by the NIR Onboarding Governance Group</w:t>
      </w:r>
    </w:p>
    <w:p w14:paraId="699467E0" w14:textId="109394BA" w:rsidR="00D92C32" w:rsidRPr="00D92C32" w:rsidRDefault="00D92C32"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These steps ensure that deployment safety is actively verified and not based solely on documentary confirmation.</w:t>
      </w:r>
      <w:r>
        <w:rPr>
          <w:rFonts w:asciiTheme="minorHAnsi" w:hAnsiTheme="minorHAnsi" w:cstheme="minorHAnsi"/>
          <w:color w:val="auto"/>
          <w:lang w:eastAsia="en-GB"/>
        </w:rPr>
        <w:t xml:space="preserve"> </w:t>
      </w:r>
    </w:p>
    <w:p w14:paraId="3B6E6C6B" w14:textId="77777777" w:rsidR="001E0AF6" w:rsidRPr="00D65BDC" w:rsidRDefault="001E0AF6" w:rsidP="00D65BDC">
      <w:pPr>
        <w:spacing w:after="160" w:line="278" w:lineRule="auto"/>
        <w:rPr>
          <w:sz w:val="22"/>
          <w:szCs w:val="22"/>
        </w:rPr>
      </w:pPr>
    </w:p>
    <w:p w14:paraId="33FD4E0E" w14:textId="41DC6A25" w:rsidR="00951129" w:rsidRPr="00BD7FB4" w:rsidRDefault="00D65BDC" w:rsidP="00105D26">
      <w:pPr>
        <w:pStyle w:val="Heading2"/>
      </w:pPr>
      <w:bookmarkStart w:id="45" w:name="_Toc214870532"/>
      <w:r w:rsidRPr="00D65BDC">
        <w:t>Training</w:t>
      </w:r>
      <w:r w:rsidR="00C3566D">
        <w:t>, Supplier Guidance</w:t>
      </w:r>
      <w:r w:rsidRPr="00D65BDC">
        <w:t xml:space="preserve"> and </w:t>
      </w:r>
      <w:r w:rsidR="00807231">
        <w:t>NIR User</w:t>
      </w:r>
      <w:r w:rsidRPr="00D65BDC">
        <w:t xml:space="preserve"> Communication</w:t>
      </w:r>
      <w:r w:rsidR="00951129">
        <w:t>s</w:t>
      </w:r>
      <w:bookmarkEnd w:id="45"/>
    </w:p>
    <w:p w14:paraId="15CA2502" w14:textId="51854301" w:rsidR="007D1727" w:rsidRPr="00B3622E" w:rsidRDefault="007D1727" w:rsidP="00B3622E">
      <w:pPr>
        <w:spacing w:line="276" w:lineRule="auto"/>
      </w:pPr>
      <w:r w:rsidRPr="00B3622E">
        <w:t xml:space="preserve">For the safe and effective use of the National Image Registry (NIR), a comprehensive training, guidance, and communication framework supports suppliers, local administrators, and clinical users throughout the system lifecycle. The onboarding, assurance, and </w:t>
      </w:r>
      <w:r w:rsidRPr="00B3622E">
        <w:lastRenderedPageBreak/>
        <w:t>deployment of all suppliers and connected systems are governed through the NHS England Digital Onboarding Process</w:t>
      </w:r>
      <w:r w:rsidR="002D0752" w:rsidRPr="00B3622E">
        <w:t xml:space="preserve"> </w:t>
      </w:r>
      <w:hyperlink r:id="rId46" w:history="1">
        <w:r w:rsidR="002D0752" w:rsidRPr="00B3622E">
          <w:rPr>
            <w:rStyle w:val="Hyperlink"/>
            <w:rFonts w:ascii="Arial" w:hAnsi="Arial"/>
          </w:rPr>
          <w:t>https://digital.nhs.uk/developer/guides-and-documentation/digital-onboarding</w:t>
        </w:r>
      </w:hyperlink>
      <w:r w:rsidRPr="00B3622E">
        <w:t>, which provides a formal mechanism for evaluating interoperability, information governance, and clinical safety compliance prior to live connection.</w:t>
      </w:r>
      <w:r w:rsidR="00BB6293" w:rsidRPr="00B3622E">
        <w:t xml:space="preserve"> </w:t>
      </w:r>
    </w:p>
    <w:p w14:paraId="06FA8C8E" w14:textId="64974461" w:rsidR="007D1727" w:rsidRPr="00B3622E" w:rsidRDefault="007D1727" w:rsidP="00B3622E">
      <w:pPr>
        <w:spacing w:line="276" w:lineRule="auto"/>
      </w:pPr>
      <w:r w:rsidRPr="00B3622E">
        <w:t>Under this process, each supplier participating in the NIR programme must complete a defined onboarding pathway that includes submission of technical documentation, interoperability evidence, and DCB 0160 clinical safety artefacts.</w:t>
      </w:r>
      <w:r w:rsidR="00BB6293" w:rsidRPr="00B3622E">
        <w:t xml:space="preserve"> These documents include the NIR Supplier Onboarding Pack, Supplier Conformance Criteria (SCC), and NIR Interoperability Testing Procedure.</w:t>
      </w:r>
      <w:r w:rsidRPr="00B3622E">
        <w:t xml:space="preserve"> Suppliers are provided with onboarding materials that describe the technical architecture of the NIR, the integration model, and their responsibilities under DCB 0160. These materials also outline the required conformance and interoperability testing that must be successfully completed before any live data exchange occurs. Through this structured onboarding route, suppliers are supported in aligning their implementations with the NIR Clinical Safety Case, ensuring consistency of safety controls across the federated imaging </w:t>
      </w:r>
      <w:r w:rsidR="00E925B8" w:rsidRPr="00B3622E">
        <w:t>network</w:t>
      </w:r>
      <w:r w:rsidRPr="00B3622E">
        <w:t>.</w:t>
      </w:r>
    </w:p>
    <w:p w14:paraId="6A3BCCCB" w14:textId="27129036" w:rsidR="007D1727" w:rsidRPr="00B3622E" w:rsidRDefault="007D1727" w:rsidP="00B3622E">
      <w:pPr>
        <w:spacing w:line="276" w:lineRule="auto"/>
      </w:pPr>
      <w:r w:rsidRPr="00B3622E">
        <w:t>For clinical and operational users, including radiologists, referrers, and local imaging service teams, NHS England provides structured user guidance and operational documentation accessible via the NIR Confluence workspace</w:t>
      </w:r>
      <w:r w:rsidR="00F80A40" w:rsidRPr="00B3622E">
        <w:t xml:space="preserve"> (Ref </w:t>
      </w:r>
      <w:r w:rsidR="008C0A6C" w:rsidRPr="00B3622E">
        <w:t>22</w:t>
      </w:r>
      <w:r w:rsidR="00F80A40" w:rsidRPr="00B3622E">
        <w:t>)</w:t>
      </w:r>
      <w:r w:rsidRPr="00B3622E">
        <w:t xml:space="preserve"> and onboarding portal</w:t>
      </w:r>
      <w:r w:rsidR="00F80A40" w:rsidRPr="00B3622E">
        <w:t xml:space="preserve"> (Ref </w:t>
      </w:r>
      <w:r w:rsidR="00640F03" w:rsidRPr="00B3622E">
        <w:t>10</w:t>
      </w:r>
      <w:r w:rsidR="00F80A40" w:rsidRPr="00B3622E">
        <w:t>)</w:t>
      </w:r>
      <w:r w:rsidRPr="00B3622E">
        <w:t>. This guidance explains the role and purpose of the NIR, details the correct procedures for image discovery and retrieval, and defines clear escalation routes in the event of system failure, delayed access, or data inconsistency. The documentation also reiterates that the NIR does not store, interpret, or alter clinical images; it acts solely as a discovery and retrieval service, with diagnostic functions remaining within local PACS or viewing applications.</w:t>
      </w:r>
    </w:p>
    <w:p w14:paraId="1D7E5700" w14:textId="0D572F09" w:rsidR="007D1727" w:rsidRPr="00B3622E" w:rsidRDefault="007D1727" w:rsidP="00B3622E">
      <w:pPr>
        <w:spacing w:line="276" w:lineRule="auto"/>
      </w:pPr>
      <w:r w:rsidRPr="00B3622E">
        <w:t xml:space="preserve">Training materials are developed in collaboration with early adopter </w:t>
      </w:r>
      <w:r w:rsidR="000B4F22">
        <w:t>providers / organisations</w:t>
      </w:r>
      <w:r w:rsidRPr="00B3622E">
        <w:t xml:space="preserve"> and deployment partners to reflect real-world workflows. These materials are disseminated through supplier onboarding sessions, clinical engagement workshops, and online learning resources hosted within NHS England’s digital platforms. Periodic safety communications and operational updates are</w:t>
      </w:r>
      <w:r w:rsidR="001E6ED2" w:rsidRPr="00B3622E">
        <w:t xml:space="preserve"> to be</w:t>
      </w:r>
      <w:r w:rsidRPr="00B3622E">
        <w:t xml:space="preserve"> distributed via Confluence and official NHS England communication channels to highlight configuration best practice, recurring error trends, and upcoming system enhancements</w:t>
      </w:r>
      <w:r w:rsidR="00DD1288" w:rsidRPr="00B3622E">
        <w:t xml:space="preserve"> (From: NIR governance model</w:t>
      </w:r>
      <w:r w:rsidR="00F80A40" w:rsidRPr="00B3622E">
        <w:t xml:space="preserve"> (Ref </w:t>
      </w:r>
      <w:r w:rsidR="006E0D4F" w:rsidRPr="00B3622E">
        <w:t>23</w:t>
      </w:r>
      <w:r w:rsidR="00F80A40" w:rsidRPr="00B3622E">
        <w:t>)</w:t>
      </w:r>
      <w:r w:rsidR="00AF372D" w:rsidRPr="00B3622E">
        <w:t xml:space="preserve"> also (NIR Programme Communications Plan, 2025)</w:t>
      </w:r>
      <w:r w:rsidR="00F80A40" w:rsidRPr="00B3622E">
        <w:t xml:space="preserve"> (Ref </w:t>
      </w:r>
      <w:r w:rsidR="00DD0B72" w:rsidRPr="00B3622E">
        <w:t>12</w:t>
      </w:r>
      <w:r w:rsidR="00F80A40" w:rsidRPr="00B3622E">
        <w:t>)</w:t>
      </w:r>
      <w:r w:rsidR="00AF372D" w:rsidRPr="00B3622E">
        <w:t>.</w:t>
      </w:r>
    </w:p>
    <w:p w14:paraId="28C40F9B" w14:textId="2B2F7560" w:rsidR="007D1727" w:rsidRPr="00B3622E" w:rsidRDefault="007D1727" w:rsidP="00B3622E">
      <w:pPr>
        <w:spacing w:line="276" w:lineRule="auto"/>
      </w:pPr>
      <w:r w:rsidRPr="00B3622E">
        <w:t>Targeted clinical safety briefings and supplier engagement forums reinforce a shared understanding of operational boundaries and clinical safety responsibilities across all stakeholders. This structured communication and onboarding model ensures that suppliers, users, and system operators are fully informed of both technical and safety considerations, substantially reducing the likelihood of user error, misconfiguration, or misuse of the NIR system.</w:t>
      </w:r>
    </w:p>
    <w:p w14:paraId="7075042E" w14:textId="047B1B5F" w:rsidR="005875B5" w:rsidRPr="00B3622E" w:rsidRDefault="007D1727" w:rsidP="00B3622E">
      <w:pPr>
        <w:spacing w:line="276" w:lineRule="auto"/>
      </w:pPr>
      <w:r w:rsidRPr="00B3622E">
        <w:t xml:space="preserve">By embedding the Digital Onboarding Process within the overall NIR deployment framework, NHS England ensures that every participating organisation enters the </w:t>
      </w:r>
      <w:r w:rsidR="00DD1288" w:rsidRPr="00B3622E">
        <w:t>program</w:t>
      </w:r>
      <w:r w:rsidRPr="00B3622E">
        <w:t xml:space="preserve"> through a controlled, assured, and safety-validated pathway</w:t>
      </w:r>
      <w:r w:rsidR="005875B5" w:rsidRPr="00B3622E">
        <w:t>,</w:t>
      </w:r>
      <w:r w:rsidRPr="00B3622E">
        <w:t xml:space="preserve"> maintaining a consistent national standard for interoperability and clinical safety.</w:t>
      </w:r>
    </w:p>
    <w:p w14:paraId="135D851A" w14:textId="2BADDF07" w:rsidR="001E0AF6" w:rsidRPr="00B3622E" w:rsidRDefault="001E0AF6"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Completion of local training is highly recommended as a requirement under DCB0160 prior to go-live. Training should explicitly cover:</w:t>
      </w:r>
    </w:p>
    <w:p w14:paraId="05C7E1AF" w14:textId="0D80992E" w:rsidR="001E0AF6" w:rsidRPr="00B3622E" w:rsidRDefault="001E0AF6"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lastRenderedPageBreak/>
        <w:t>• The role of NIR as a pointer-based system</w:t>
      </w:r>
      <w:r w:rsidRPr="00B3622E">
        <w:rPr>
          <w:rFonts w:asciiTheme="minorHAnsi" w:hAnsiTheme="minorHAnsi" w:cstheme="minorHAnsi"/>
          <w:color w:val="auto"/>
          <w:lang w:eastAsia="en-GB"/>
        </w:rPr>
        <w:br/>
        <w:t xml:space="preserve">• The limitation that </w:t>
      </w:r>
      <w:r w:rsidR="00C36837" w:rsidRPr="00B3622E">
        <w:rPr>
          <w:rFonts w:asciiTheme="minorHAnsi" w:hAnsiTheme="minorHAnsi" w:cstheme="minorHAnsi"/>
          <w:color w:val="auto"/>
          <w:lang w:eastAsia="en-GB"/>
        </w:rPr>
        <w:t xml:space="preserve">the </w:t>
      </w:r>
      <w:r w:rsidRPr="00B3622E">
        <w:rPr>
          <w:rFonts w:asciiTheme="minorHAnsi" w:hAnsiTheme="minorHAnsi" w:cstheme="minorHAnsi"/>
          <w:color w:val="auto"/>
          <w:lang w:eastAsia="en-GB"/>
        </w:rPr>
        <w:t xml:space="preserve">absence of results does not confirm </w:t>
      </w:r>
      <w:r w:rsidR="00C36837" w:rsidRPr="00B3622E">
        <w:rPr>
          <w:rFonts w:asciiTheme="minorHAnsi" w:hAnsiTheme="minorHAnsi" w:cstheme="minorHAnsi"/>
          <w:color w:val="auto"/>
          <w:lang w:eastAsia="en-GB"/>
        </w:rPr>
        <w:t xml:space="preserve">the </w:t>
      </w:r>
      <w:r w:rsidRPr="00B3622E">
        <w:rPr>
          <w:rFonts w:asciiTheme="minorHAnsi" w:hAnsiTheme="minorHAnsi" w:cstheme="minorHAnsi"/>
          <w:color w:val="auto"/>
          <w:lang w:eastAsia="en-GB"/>
        </w:rPr>
        <w:t>absence of imaging</w:t>
      </w:r>
      <w:r w:rsidRPr="00B3622E">
        <w:rPr>
          <w:rFonts w:asciiTheme="minorHAnsi" w:hAnsiTheme="minorHAnsi" w:cstheme="minorHAnsi"/>
          <w:color w:val="auto"/>
          <w:lang w:eastAsia="en-GB"/>
        </w:rPr>
        <w:br/>
        <w:t>• Local fallback procedures and escalation routes</w:t>
      </w:r>
    </w:p>
    <w:p w14:paraId="6029A2A1" w14:textId="2BCDB5B4" w:rsidR="001E0AF6" w:rsidRPr="00B3622E" w:rsidRDefault="001E0AF6" w:rsidP="00B3622E">
      <w:pPr>
        <w:spacing w:after="0" w:line="276" w:lineRule="auto"/>
        <w:textboxTightWrap w:val="none"/>
        <w:rPr>
          <w:rFonts w:asciiTheme="minorHAnsi" w:hAnsiTheme="minorHAnsi" w:cstheme="minorHAnsi"/>
          <w:color w:val="auto"/>
          <w:lang w:eastAsia="en-GB"/>
        </w:rPr>
      </w:pPr>
      <w:r w:rsidRPr="00B3622E">
        <w:rPr>
          <w:rFonts w:asciiTheme="minorHAnsi" w:hAnsiTheme="minorHAnsi" w:cstheme="minorHAnsi"/>
          <w:color w:val="auto"/>
          <w:lang w:eastAsia="en-GB"/>
        </w:rPr>
        <w:t xml:space="preserve">Training completion must be recorded and maintained by the deploying organisation. All organisations must provide a training plan as part of the onboarding process. </w:t>
      </w:r>
    </w:p>
    <w:p w14:paraId="555F4142" w14:textId="77777777" w:rsidR="001E0AF6" w:rsidRDefault="001E0AF6" w:rsidP="005875B5"/>
    <w:p w14:paraId="001375C2" w14:textId="68ADD944" w:rsidR="00951129" w:rsidRPr="00BD7FB4" w:rsidRDefault="00D65BDC" w:rsidP="00105D26">
      <w:pPr>
        <w:pStyle w:val="Heading2"/>
      </w:pPr>
      <w:bookmarkStart w:id="46" w:name="_Toc214870533"/>
      <w:r w:rsidRPr="00D65BDC">
        <w:t xml:space="preserve">Technical </w:t>
      </w:r>
      <w:r w:rsidR="00951129">
        <w:t>Support and Incident Management</w:t>
      </w:r>
      <w:bookmarkEnd w:id="46"/>
    </w:p>
    <w:p w14:paraId="6EE12AFE" w14:textId="5727B2F2" w:rsidR="00B14389" w:rsidRPr="00B14389" w:rsidRDefault="00B14389" w:rsidP="00B3622E">
      <w:pPr>
        <w:spacing w:line="276" w:lineRule="auto"/>
      </w:pPr>
      <w:r w:rsidRPr="00B14389">
        <w:t>Once deployed, the NIR is supported by a defined operational model governed by the NHS England Service Management Framework and documented within the NIR Operational Support Model (v</w:t>
      </w:r>
      <w:r w:rsidR="00B3622E">
        <w:t>3</w:t>
      </w:r>
      <w:r w:rsidRPr="00B14389">
        <w:t>.0)</w:t>
      </w:r>
      <w:r w:rsidR="001E780F">
        <w:t xml:space="preserve"> (Ref </w:t>
      </w:r>
      <w:r w:rsidR="00871819">
        <w:t>15</w:t>
      </w:r>
      <w:r w:rsidR="001E780F">
        <w:t>)</w:t>
      </w:r>
      <w:r w:rsidRPr="00B14389">
        <w:t>. A centralised service desk provides triage, incident classification, and escalation, with specific procedures for managing incidents that could affect clinical workflow or patient safety.</w:t>
      </w:r>
    </w:p>
    <w:p w14:paraId="4F3B5579" w14:textId="6363F608" w:rsidR="00B14389" w:rsidRPr="00B14389" w:rsidRDefault="00B14389" w:rsidP="00B3622E">
      <w:pPr>
        <w:spacing w:line="276" w:lineRule="auto"/>
      </w:pPr>
      <w:r w:rsidRPr="00B14389">
        <w:t>System observability and monitoring are provided through the NIR Observability Platform, which continuously tracks transaction performance, query response times, and connectivity status. Automated alerts notify technical teams of anomalies, enabling early intervention. The Incident Management Procedure (IMP)</w:t>
      </w:r>
      <w:r w:rsidR="001E780F">
        <w:t xml:space="preserve"> (Ref </w:t>
      </w:r>
      <w:r w:rsidR="00D03B87">
        <w:t>16</w:t>
      </w:r>
      <w:r w:rsidR="001E780F">
        <w:t>)</w:t>
      </w:r>
      <w:r w:rsidRPr="00B14389">
        <w:t xml:space="preserve"> defines severity levels, response targets, and escalation routes, ensuring that clinical-impacting incidents are reviewed by the Clinical Safety Officer and investigated in accordance with DCB 0129 Section 4.4 requirements.</w:t>
      </w:r>
    </w:p>
    <w:p w14:paraId="5C950479" w14:textId="51206612" w:rsidR="00773FBA" w:rsidRPr="00D65BDC" w:rsidRDefault="00B14389" w:rsidP="00B3622E">
      <w:pPr>
        <w:spacing w:line="276" w:lineRule="auto"/>
      </w:pPr>
      <w:r w:rsidRPr="00B14389">
        <w:t>Post-incident reviews are conducted for all critical events, and outcomes are recorded in the NIR Hazard Log</w:t>
      </w:r>
      <w:r w:rsidR="001E780F">
        <w:t xml:space="preserve"> (Ref </w:t>
      </w:r>
      <w:r w:rsidR="00B3622E">
        <w:t>3</w:t>
      </w:r>
      <w:r w:rsidR="001E780F">
        <w:t>)</w:t>
      </w:r>
      <w:r w:rsidRPr="00B14389">
        <w:t xml:space="preserve"> and Service Review Reports</w:t>
      </w:r>
      <w:r w:rsidR="001E780F">
        <w:t xml:space="preserve"> (Ref </w:t>
      </w:r>
      <w:r w:rsidR="00D03B87">
        <w:t>18</w:t>
      </w:r>
      <w:r w:rsidR="001E780F">
        <w:t>)</w:t>
      </w:r>
      <w:r w:rsidRPr="00B14389">
        <w:t>. Where systemic or recurring issues are identified, corrective and preventive actions (CAPA) are raised through the NIR change management process</w:t>
      </w:r>
      <w:r w:rsidR="001A1424">
        <w:t xml:space="preserve"> (Ref </w:t>
      </w:r>
      <w:r w:rsidR="00D03B87">
        <w:t>17</w:t>
      </w:r>
      <w:r w:rsidR="001A1424">
        <w:t>)</w:t>
      </w:r>
      <w:r w:rsidRPr="00B14389">
        <w:t>. This integrated feedback mechanism ensures continuous improvement and full traceability between incident management and clinical risk documentation</w:t>
      </w:r>
      <w:r w:rsidR="00B3622E">
        <w:t>.</w:t>
      </w:r>
    </w:p>
    <w:p w14:paraId="21E52F2A" w14:textId="20CAD32A" w:rsidR="00951129" w:rsidRDefault="00D65BDC" w:rsidP="00105D26">
      <w:pPr>
        <w:pStyle w:val="Heading2"/>
      </w:pPr>
      <w:bookmarkStart w:id="47" w:name="_Toc214870534"/>
      <w:r w:rsidRPr="00D65BDC">
        <w:t>Testing and Sign Off</w:t>
      </w:r>
      <w:bookmarkEnd w:id="47"/>
    </w:p>
    <w:p w14:paraId="3570ED3B" w14:textId="77777777" w:rsidR="002A29E7" w:rsidRPr="002A29E7" w:rsidRDefault="002A29E7" w:rsidP="00B3622E">
      <w:pPr>
        <w:pStyle w:val="NormalWeb"/>
        <w:spacing w:after="0" w:line="276" w:lineRule="auto"/>
        <w:rPr>
          <w:rFonts w:asciiTheme="minorHAnsi" w:hAnsiTheme="minorHAnsi" w:cstheme="minorHAnsi"/>
        </w:rPr>
      </w:pPr>
      <w:r w:rsidRPr="002A29E7">
        <w:rPr>
          <w:rFonts w:asciiTheme="minorHAnsi" w:hAnsiTheme="minorHAnsi" w:cstheme="minorHAnsi"/>
        </w:rPr>
        <w:t>The National Image Registry (NIR) follows a structured verification and validation approach aligned to the NHS England Software Testing Framework and governed by the NIR Quality Assurance and Test Strategy (Ref 11). Testing activities have been designed to provide assurance that the system performs safely, reliably, and in accordance with its intended use, while demonstrating that identified clinical risks have been effectively controlled.</w:t>
      </w:r>
    </w:p>
    <w:p w14:paraId="4849C9F9" w14:textId="77777777" w:rsidR="002A29E7" w:rsidRPr="002A29E7" w:rsidRDefault="002A29E7" w:rsidP="00B3622E">
      <w:pPr>
        <w:pStyle w:val="NormalWeb"/>
        <w:spacing w:after="0" w:line="276" w:lineRule="auto"/>
        <w:rPr>
          <w:rFonts w:asciiTheme="minorHAnsi" w:hAnsiTheme="minorHAnsi" w:cstheme="minorHAnsi"/>
        </w:rPr>
      </w:pPr>
      <w:r w:rsidRPr="002A29E7">
        <w:rPr>
          <w:rFonts w:asciiTheme="minorHAnsi" w:hAnsiTheme="minorHAnsi" w:cstheme="minorHAnsi"/>
        </w:rPr>
        <w:t>Testing has been undertaken across multiple levels to validate both functional performance and clinical safety controls.</w:t>
      </w:r>
    </w:p>
    <w:p w14:paraId="5C43A24C" w14:textId="77777777" w:rsidR="002A29E7" w:rsidRDefault="002A29E7" w:rsidP="00B3622E">
      <w:pPr>
        <w:pStyle w:val="Heading3"/>
      </w:pPr>
    </w:p>
    <w:p w14:paraId="213A6446" w14:textId="1CB4B9AB" w:rsidR="002A29E7" w:rsidRPr="00B3622E" w:rsidRDefault="002A29E7" w:rsidP="00B3622E">
      <w:pPr>
        <w:pStyle w:val="Heading3"/>
        <w:spacing w:line="276" w:lineRule="auto"/>
        <w:rPr>
          <w:rFonts w:cstheme="minorHAnsi"/>
        </w:rPr>
      </w:pPr>
      <w:r w:rsidRPr="00B3622E">
        <w:rPr>
          <w:rFonts w:cstheme="minorHAnsi"/>
        </w:rPr>
        <w:t>1. System and Integration Testing</w:t>
      </w:r>
    </w:p>
    <w:p w14:paraId="58259E28"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System-level and integration testing have been conducted to verify:</w:t>
      </w:r>
    </w:p>
    <w:p w14:paraId="36313E5F" w14:textId="77777777" w:rsidR="002A29E7" w:rsidRPr="00B3622E" w:rsidRDefault="002A29E7" w:rsidP="00B3622E">
      <w:pPr>
        <w:numPr>
          <w:ilvl w:val="0"/>
          <w:numId w:val="80"/>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End-to-end XCA query and retrieval workflows </w:t>
      </w:r>
    </w:p>
    <w:p w14:paraId="1A329430" w14:textId="77777777" w:rsidR="002A29E7" w:rsidRPr="00B3622E" w:rsidRDefault="002A29E7" w:rsidP="00B3622E">
      <w:pPr>
        <w:numPr>
          <w:ilvl w:val="0"/>
          <w:numId w:val="80"/>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Metadata conformance against IHE XDS/XCA standards </w:t>
      </w:r>
    </w:p>
    <w:p w14:paraId="216BA877" w14:textId="77777777" w:rsidR="002A29E7" w:rsidRPr="00B3622E" w:rsidRDefault="002A29E7" w:rsidP="00B3622E">
      <w:pPr>
        <w:numPr>
          <w:ilvl w:val="0"/>
          <w:numId w:val="80"/>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Interoperability across participating PACS/VNA supplier environments </w:t>
      </w:r>
    </w:p>
    <w:p w14:paraId="3A2AAB75" w14:textId="77777777" w:rsidR="002A29E7" w:rsidRPr="00B3622E" w:rsidRDefault="002A29E7" w:rsidP="00B3622E">
      <w:pPr>
        <w:numPr>
          <w:ilvl w:val="0"/>
          <w:numId w:val="80"/>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Correct handling of document and imaging retrieval transactions </w:t>
      </w:r>
    </w:p>
    <w:p w14:paraId="12007342"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This ensures that the NIR operates consistently within the federated imaging architecture and supports accurate cross-organisational data exchange.</w:t>
      </w:r>
    </w:p>
    <w:p w14:paraId="365276F4" w14:textId="173E33D5" w:rsidR="002A29E7" w:rsidRPr="00B3622E" w:rsidRDefault="002A29E7" w:rsidP="00B3622E">
      <w:pPr>
        <w:spacing w:after="0" w:line="276" w:lineRule="auto"/>
        <w:rPr>
          <w:rFonts w:asciiTheme="minorHAnsi" w:hAnsiTheme="minorHAnsi" w:cstheme="minorHAnsi"/>
        </w:rPr>
      </w:pPr>
    </w:p>
    <w:p w14:paraId="14AA4F87" w14:textId="77777777" w:rsidR="002A29E7" w:rsidRPr="00B3622E" w:rsidRDefault="002A29E7" w:rsidP="00B3622E">
      <w:pPr>
        <w:pStyle w:val="Heading3"/>
        <w:spacing w:line="276" w:lineRule="auto"/>
        <w:rPr>
          <w:rFonts w:cstheme="minorHAnsi"/>
        </w:rPr>
      </w:pPr>
      <w:r w:rsidRPr="00B3622E">
        <w:rPr>
          <w:rFonts w:cstheme="minorHAnsi"/>
        </w:rPr>
        <w:lastRenderedPageBreak/>
        <w:t>2. Scenario-Based Clinical Safety Testing</w:t>
      </w:r>
    </w:p>
    <w:p w14:paraId="64B99C32"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Scenario-based testing has been undertaken to validate system behaviour against safety-critical conditions derived from the Hazard Log (HAZ001–HAZ011).</w:t>
      </w:r>
    </w:p>
    <w:p w14:paraId="3FAA262C"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This includes testing of:</w:t>
      </w:r>
    </w:p>
    <w:p w14:paraId="7D87310F" w14:textId="77777777" w:rsidR="002A29E7" w:rsidRPr="00B3622E" w:rsidRDefault="002A29E7" w:rsidP="00B3622E">
      <w:pPr>
        <w:numPr>
          <w:ilvl w:val="0"/>
          <w:numId w:val="81"/>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Missing or incomplete imaging results </w:t>
      </w:r>
    </w:p>
    <w:p w14:paraId="46720CCD" w14:textId="77777777" w:rsidR="002A29E7" w:rsidRPr="00B3622E" w:rsidRDefault="002A29E7" w:rsidP="00B3622E">
      <w:pPr>
        <w:numPr>
          <w:ilvl w:val="0"/>
          <w:numId w:val="81"/>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Patient identity mismatch scenarios </w:t>
      </w:r>
    </w:p>
    <w:p w14:paraId="2061F429" w14:textId="77777777" w:rsidR="002A29E7" w:rsidRPr="00B3622E" w:rsidRDefault="002A29E7" w:rsidP="00B3622E">
      <w:pPr>
        <w:numPr>
          <w:ilvl w:val="0"/>
          <w:numId w:val="81"/>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Retrieval delays and partial system failures </w:t>
      </w:r>
    </w:p>
    <w:p w14:paraId="68E07AA5" w14:textId="77777777" w:rsidR="002A29E7" w:rsidRPr="00B3622E" w:rsidRDefault="002A29E7" w:rsidP="00B3622E">
      <w:pPr>
        <w:numPr>
          <w:ilvl w:val="0"/>
          <w:numId w:val="81"/>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Data availability and fallback pathways </w:t>
      </w:r>
    </w:p>
    <w:p w14:paraId="06CDFD29"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These scenarios confirm that the system fails safely, provides appropriate feedback, and does not introduce unacceptable clinical risk in line with DCB0129 Clinical Risk Evaluation principles.</w:t>
      </w:r>
    </w:p>
    <w:p w14:paraId="7693B986" w14:textId="77777777" w:rsidR="002A29E7" w:rsidRPr="00B3622E" w:rsidRDefault="002A29E7" w:rsidP="00B3622E">
      <w:pPr>
        <w:pStyle w:val="NormalWeb"/>
        <w:spacing w:after="0" w:line="276" w:lineRule="auto"/>
        <w:rPr>
          <w:rFonts w:asciiTheme="minorHAnsi" w:hAnsiTheme="minorHAnsi" w:cstheme="minorHAnsi"/>
        </w:rPr>
      </w:pPr>
    </w:p>
    <w:p w14:paraId="6E2BACCA" w14:textId="03F35401" w:rsidR="002A29E7" w:rsidRPr="00B3622E" w:rsidRDefault="002A29E7" w:rsidP="00B3622E">
      <w:pPr>
        <w:pStyle w:val="Heading3"/>
        <w:spacing w:line="276" w:lineRule="auto"/>
        <w:rPr>
          <w:rFonts w:cstheme="minorHAnsi"/>
        </w:rPr>
      </w:pPr>
      <w:r w:rsidRPr="00B3622E">
        <w:rPr>
          <w:rFonts w:cstheme="minorHAnsi"/>
        </w:rPr>
        <w:t>3. Negative and Fault Condition Testing</w:t>
      </w:r>
    </w:p>
    <w:p w14:paraId="1C90B7C6"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Negative testing has been performed to validate system behaviour under fault conditions, including:</w:t>
      </w:r>
    </w:p>
    <w:p w14:paraId="76E6DA1A" w14:textId="77777777" w:rsidR="002A29E7" w:rsidRPr="00B3622E" w:rsidRDefault="002A29E7" w:rsidP="00B3622E">
      <w:pPr>
        <w:numPr>
          <w:ilvl w:val="0"/>
          <w:numId w:val="82"/>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Network latency and connectivity failure </w:t>
      </w:r>
    </w:p>
    <w:p w14:paraId="114A19F9" w14:textId="77777777" w:rsidR="002A29E7" w:rsidRPr="00B3622E" w:rsidRDefault="002A29E7" w:rsidP="00B3622E">
      <w:pPr>
        <w:numPr>
          <w:ilvl w:val="0"/>
          <w:numId w:val="82"/>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Authentication and authorisation failure </w:t>
      </w:r>
    </w:p>
    <w:p w14:paraId="62D328F7" w14:textId="77777777" w:rsidR="002A29E7" w:rsidRPr="00B3622E" w:rsidRDefault="002A29E7" w:rsidP="00B3622E">
      <w:pPr>
        <w:numPr>
          <w:ilvl w:val="0"/>
          <w:numId w:val="82"/>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Partial or incomplete query responses </w:t>
      </w:r>
    </w:p>
    <w:p w14:paraId="59D77ED2" w14:textId="77777777" w:rsidR="002A29E7" w:rsidRPr="00B3622E" w:rsidRDefault="002A29E7" w:rsidP="00B3622E">
      <w:pPr>
        <w:numPr>
          <w:ilvl w:val="0"/>
          <w:numId w:val="82"/>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HCID-related query limitations and unavailable communities </w:t>
      </w:r>
    </w:p>
    <w:p w14:paraId="3B291821"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Error handling behaviour has been verified against the NIR Error Handling Framework (Ref 9), ensuring that failures are surfaced appropriately (e.g. via XDSUnavailableCommunity responses) rather than resulting in silent data omission.</w:t>
      </w:r>
    </w:p>
    <w:p w14:paraId="328F7BA9" w14:textId="43DC5EBB" w:rsidR="002A29E7" w:rsidRPr="00B3622E" w:rsidRDefault="002A29E7" w:rsidP="00B3622E">
      <w:pPr>
        <w:spacing w:after="0" w:line="276" w:lineRule="auto"/>
        <w:rPr>
          <w:rFonts w:asciiTheme="minorHAnsi" w:hAnsiTheme="minorHAnsi" w:cstheme="minorHAnsi"/>
        </w:rPr>
      </w:pPr>
    </w:p>
    <w:p w14:paraId="4587DBC9" w14:textId="77777777" w:rsidR="002A29E7" w:rsidRPr="00B3622E" w:rsidRDefault="002A29E7" w:rsidP="00B3622E">
      <w:pPr>
        <w:pStyle w:val="Heading3"/>
        <w:spacing w:line="276" w:lineRule="auto"/>
        <w:rPr>
          <w:rFonts w:cstheme="minorHAnsi"/>
        </w:rPr>
      </w:pPr>
      <w:r w:rsidRPr="00B3622E">
        <w:rPr>
          <w:rFonts w:cstheme="minorHAnsi"/>
        </w:rPr>
        <w:t>4. Supplier Conformance and Interoperability Testing</w:t>
      </w:r>
    </w:p>
    <w:p w14:paraId="08077C40"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Structured conformance testing has been undertaken with suppliers to ensure:</w:t>
      </w:r>
    </w:p>
    <w:p w14:paraId="223648A4" w14:textId="77777777" w:rsidR="002A29E7" w:rsidRPr="00B3622E" w:rsidRDefault="002A29E7" w:rsidP="00B3622E">
      <w:pPr>
        <w:numPr>
          <w:ilvl w:val="0"/>
          <w:numId w:val="83"/>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Compliance with required interoperability standards (XCA, XDS, WADO-WS/RS) </w:t>
      </w:r>
    </w:p>
    <w:p w14:paraId="178D878F" w14:textId="77777777" w:rsidR="002A29E7" w:rsidRPr="00B3622E" w:rsidRDefault="002A29E7" w:rsidP="00B3622E">
      <w:pPr>
        <w:numPr>
          <w:ilvl w:val="0"/>
          <w:numId w:val="83"/>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Alignment with NIR trust model and security protocols </w:t>
      </w:r>
    </w:p>
    <w:p w14:paraId="2B963378" w14:textId="77777777" w:rsidR="002A29E7" w:rsidRPr="00B3622E" w:rsidRDefault="002A29E7" w:rsidP="00B3622E">
      <w:pPr>
        <w:numPr>
          <w:ilvl w:val="0"/>
          <w:numId w:val="83"/>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Consistent behaviour across heterogeneous supplier environments </w:t>
      </w:r>
    </w:p>
    <w:p w14:paraId="3C41571D"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This mitigates risks associated with variability in supplier implementation, which is a key hazard theme within the NIR safety case.</w:t>
      </w:r>
    </w:p>
    <w:p w14:paraId="31B7C92E" w14:textId="782B12BB" w:rsidR="002A29E7" w:rsidRPr="00B3622E" w:rsidRDefault="002A29E7" w:rsidP="00B3622E">
      <w:pPr>
        <w:spacing w:after="0" w:line="276" w:lineRule="auto"/>
        <w:rPr>
          <w:rFonts w:asciiTheme="minorHAnsi" w:hAnsiTheme="minorHAnsi" w:cstheme="minorHAnsi"/>
        </w:rPr>
      </w:pPr>
    </w:p>
    <w:p w14:paraId="72ADB4C9" w14:textId="277A983B" w:rsidR="002A29E7" w:rsidRPr="00B3622E" w:rsidRDefault="002A29E7" w:rsidP="00B3622E">
      <w:pPr>
        <w:pStyle w:val="Heading3"/>
        <w:spacing w:line="276" w:lineRule="auto"/>
        <w:rPr>
          <w:rFonts w:cstheme="minorHAnsi"/>
        </w:rPr>
      </w:pPr>
      <w:r w:rsidRPr="00B3622E">
        <w:rPr>
          <w:rFonts w:cstheme="minorHAnsi"/>
        </w:rPr>
        <w:t xml:space="preserve">5. Private Beta Validation </w:t>
      </w:r>
    </w:p>
    <w:p w14:paraId="0CFD8360"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The Private Beta phase provides real-world validation of system behaviour within live clinical environments.</w:t>
      </w:r>
    </w:p>
    <w:p w14:paraId="74A5B331"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Testing during this phase has included:</w:t>
      </w:r>
    </w:p>
    <w:p w14:paraId="13D85D48" w14:textId="77777777" w:rsidR="002A29E7" w:rsidRPr="00B3622E" w:rsidRDefault="002A29E7" w:rsidP="00B3622E">
      <w:pPr>
        <w:numPr>
          <w:ilvl w:val="0"/>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Validation of end-to-end workflows (discovery, retrieval, registration) </w:t>
      </w:r>
    </w:p>
    <w:p w14:paraId="6E7F5E02" w14:textId="77777777" w:rsidR="002A29E7" w:rsidRPr="00B3622E" w:rsidRDefault="002A29E7" w:rsidP="00B3622E">
      <w:pPr>
        <w:numPr>
          <w:ilvl w:val="0"/>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Identification and resolution of: </w:t>
      </w:r>
    </w:p>
    <w:p w14:paraId="27465E2D" w14:textId="77777777" w:rsidR="002A29E7" w:rsidRPr="00B3622E" w:rsidRDefault="002A29E7" w:rsidP="00B3622E">
      <w:pPr>
        <w:numPr>
          <w:ilvl w:val="1"/>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Metadata inconsistencies </w:t>
      </w:r>
    </w:p>
    <w:p w14:paraId="5197A9F5" w14:textId="77777777" w:rsidR="002A29E7" w:rsidRPr="00B3622E" w:rsidRDefault="002A29E7" w:rsidP="00B3622E">
      <w:pPr>
        <w:numPr>
          <w:ilvl w:val="1"/>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Intermittent retrieval failures </w:t>
      </w:r>
    </w:p>
    <w:p w14:paraId="425FEC07" w14:textId="77777777" w:rsidR="002A29E7" w:rsidRPr="00B3622E" w:rsidRDefault="002A29E7" w:rsidP="00B3622E">
      <w:pPr>
        <w:numPr>
          <w:ilvl w:val="1"/>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Supplier-specific integration issues </w:t>
      </w:r>
    </w:p>
    <w:p w14:paraId="74EEA214" w14:textId="77777777" w:rsidR="002A29E7" w:rsidRPr="00B3622E" w:rsidRDefault="002A29E7" w:rsidP="00B3622E">
      <w:pPr>
        <w:numPr>
          <w:ilvl w:val="0"/>
          <w:numId w:val="84"/>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Early assessment of system performance, availability, and resilience </w:t>
      </w:r>
    </w:p>
    <w:p w14:paraId="01CCDBCB"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Multi-site evidence from Private Beta Trusts forms part of the national release readiness evidence base for future rollout.</w:t>
      </w:r>
    </w:p>
    <w:p w14:paraId="2B18BE42" w14:textId="252ED27F" w:rsidR="002A29E7" w:rsidRPr="00B3622E" w:rsidRDefault="002A29E7" w:rsidP="00B3622E">
      <w:pPr>
        <w:spacing w:after="0" w:line="276" w:lineRule="auto"/>
        <w:rPr>
          <w:rFonts w:asciiTheme="minorHAnsi" w:hAnsiTheme="minorHAnsi" w:cstheme="minorHAnsi"/>
        </w:rPr>
      </w:pPr>
    </w:p>
    <w:p w14:paraId="6F47B6B4" w14:textId="77777777" w:rsidR="002A29E7" w:rsidRPr="00B3622E" w:rsidRDefault="002A29E7" w:rsidP="00B3622E">
      <w:pPr>
        <w:pStyle w:val="Heading3"/>
        <w:spacing w:line="276" w:lineRule="auto"/>
        <w:rPr>
          <w:rFonts w:cstheme="minorHAnsi"/>
        </w:rPr>
      </w:pPr>
      <w:r w:rsidRPr="00B3622E">
        <w:rPr>
          <w:rFonts w:cstheme="minorHAnsi"/>
        </w:rPr>
        <w:lastRenderedPageBreak/>
        <w:t>6. Observability, Logging, and Monitoring Validation</w:t>
      </w:r>
    </w:p>
    <w:p w14:paraId="2D39083C"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Observability and monitoring capabilities have been validated in accordance with the NIR Observability and Logging Strategy.</w:t>
      </w:r>
    </w:p>
    <w:p w14:paraId="7FFDAE66"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This includes verification of:</w:t>
      </w:r>
    </w:p>
    <w:p w14:paraId="42187FA2" w14:textId="77777777" w:rsidR="002A29E7" w:rsidRPr="00B3622E" w:rsidRDefault="002A29E7" w:rsidP="00B3622E">
      <w:pPr>
        <w:numPr>
          <w:ilvl w:val="0"/>
          <w:numId w:val="85"/>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Structured logging of all transactions and events </w:t>
      </w:r>
    </w:p>
    <w:p w14:paraId="40E53801" w14:textId="77777777" w:rsidR="002A29E7" w:rsidRPr="00B3622E" w:rsidRDefault="002A29E7" w:rsidP="00B3622E">
      <w:pPr>
        <w:numPr>
          <w:ilvl w:val="0"/>
          <w:numId w:val="85"/>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Monitoring dashboards and alerting mechanisms </w:t>
      </w:r>
    </w:p>
    <w:p w14:paraId="34A24326" w14:textId="77777777" w:rsidR="002A29E7" w:rsidRPr="00B3622E" w:rsidRDefault="002A29E7" w:rsidP="00B3622E">
      <w:pPr>
        <w:numPr>
          <w:ilvl w:val="0"/>
          <w:numId w:val="85"/>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Error reporting and traceability of failures </w:t>
      </w:r>
    </w:p>
    <w:p w14:paraId="4FF6D8E7" w14:textId="77777777" w:rsidR="002A29E7" w:rsidRPr="00B3622E" w:rsidRDefault="002A29E7" w:rsidP="00B3622E">
      <w:pPr>
        <w:numPr>
          <w:ilvl w:val="0"/>
          <w:numId w:val="85"/>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Availability and performance metrics </w:t>
      </w:r>
    </w:p>
    <w:p w14:paraId="0A829B83" w14:textId="60779562"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These controls ensure that system behaviour can be monitored, audited, and acted upon in real time.</w:t>
      </w:r>
    </w:p>
    <w:p w14:paraId="6E34FA17" w14:textId="77777777" w:rsidR="002A29E7" w:rsidRPr="00B3622E" w:rsidRDefault="002A29E7" w:rsidP="00B3622E">
      <w:pPr>
        <w:pStyle w:val="Heading3"/>
        <w:spacing w:line="276" w:lineRule="auto"/>
        <w:rPr>
          <w:rFonts w:cstheme="minorHAnsi"/>
        </w:rPr>
      </w:pPr>
    </w:p>
    <w:p w14:paraId="244ED677" w14:textId="3D3D2804" w:rsidR="002A29E7" w:rsidRPr="00B3622E" w:rsidRDefault="002A29E7" w:rsidP="00B3622E">
      <w:pPr>
        <w:pStyle w:val="Heading3"/>
        <w:spacing w:line="276" w:lineRule="auto"/>
        <w:rPr>
          <w:rFonts w:cstheme="minorHAnsi"/>
        </w:rPr>
      </w:pPr>
      <w:r w:rsidRPr="00B3622E">
        <w:rPr>
          <w:rFonts w:cstheme="minorHAnsi"/>
        </w:rPr>
        <w:t>7. Operational Readiness and Security Validation</w:t>
      </w:r>
    </w:p>
    <w:p w14:paraId="7F865C6F"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Operational readiness checks have been completed to confirm that:</w:t>
      </w:r>
    </w:p>
    <w:p w14:paraId="6094F9EB" w14:textId="77777777" w:rsidR="002A29E7" w:rsidRPr="00B3622E" w:rsidRDefault="002A29E7" w:rsidP="00B3622E">
      <w:pPr>
        <w:numPr>
          <w:ilvl w:val="0"/>
          <w:numId w:val="86"/>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Security controls (mTLS, certificate management, authentication) are correctly implemented </w:t>
      </w:r>
    </w:p>
    <w:p w14:paraId="4E44A647" w14:textId="77777777" w:rsidR="002A29E7" w:rsidRPr="00B3622E" w:rsidRDefault="002A29E7" w:rsidP="00B3622E">
      <w:pPr>
        <w:numPr>
          <w:ilvl w:val="0"/>
          <w:numId w:val="86"/>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Environment configurations are controlled and segregated </w:t>
      </w:r>
    </w:p>
    <w:p w14:paraId="3AABDFF0" w14:textId="77777777" w:rsidR="002A29E7" w:rsidRPr="00B3622E" w:rsidRDefault="002A29E7" w:rsidP="00B3622E">
      <w:pPr>
        <w:numPr>
          <w:ilvl w:val="0"/>
          <w:numId w:val="86"/>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Observability and incident management processes are in place </w:t>
      </w:r>
    </w:p>
    <w:p w14:paraId="6EBAD479"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These activities align with the NIR Security and Compliance Strategy and Trust Model artefacts.</w:t>
      </w:r>
    </w:p>
    <w:p w14:paraId="10762171" w14:textId="6C4FEE40" w:rsidR="002A29E7" w:rsidRPr="00B3622E" w:rsidRDefault="002A29E7" w:rsidP="00B3622E">
      <w:pPr>
        <w:spacing w:after="0" w:line="276" w:lineRule="auto"/>
        <w:rPr>
          <w:rFonts w:asciiTheme="minorHAnsi" w:hAnsiTheme="minorHAnsi" w:cstheme="minorHAnsi"/>
        </w:rPr>
      </w:pPr>
    </w:p>
    <w:p w14:paraId="1EEDACB7" w14:textId="77777777" w:rsidR="002A29E7" w:rsidRPr="00B3622E" w:rsidRDefault="002A29E7" w:rsidP="00B3622E">
      <w:pPr>
        <w:pStyle w:val="Heading3"/>
        <w:spacing w:line="276" w:lineRule="auto"/>
        <w:rPr>
          <w:rFonts w:cstheme="minorHAnsi"/>
        </w:rPr>
      </w:pPr>
      <w:r w:rsidRPr="00B3622E">
        <w:rPr>
          <w:rFonts w:cstheme="minorHAnsi"/>
        </w:rPr>
        <w:t>8. Deployment Testing Requirements (DCB0160)</w:t>
      </w:r>
    </w:p>
    <w:p w14:paraId="1F07B8F5"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Final safety validation is dependent on deployment-specific testing activities conducted by each implementing organisation under DCB0160.</w:t>
      </w:r>
    </w:p>
    <w:p w14:paraId="064F45A1"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These include:</w:t>
      </w:r>
    </w:p>
    <w:p w14:paraId="2A2EF4ED" w14:textId="77777777" w:rsidR="002A29E7" w:rsidRPr="00B3622E" w:rsidRDefault="002A29E7" w:rsidP="00B3622E">
      <w:pPr>
        <w:numPr>
          <w:ilvl w:val="0"/>
          <w:numId w:val="87"/>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Local User Acceptance Testing (UAT) </w:t>
      </w:r>
    </w:p>
    <w:p w14:paraId="6676EDDB" w14:textId="77777777" w:rsidR="002A29E7" w:rsidRPr="00B3622E" w:rsidRDefault="002A29E7" w:rsidP="00B3622E">
      <w:pPr>
        <w:numPr>
          <w:ilvl w:val="0"/>
          <w:numId w:val="87"/>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End-to-end workflow validation within clinical systems </w:t>
      </w:r>
    </w:p>
    <w:p w14:paraId="7B8FC884" w14:textId="77777777" w:rsidR="002A29E7" w:rsidRPr="00B3622E" w:rsidRDefault="002A29E7" w:rsidP="00B3622E">
      <w:pPr>
        <w:numPr>
          <w:ilvl w:val="0"/>
          <w:numId w:val="87"/>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Testing of fallback and downtime procedures </w:t>
      </w:r>
    </w:p>
    <w:p w14:paraId="560C679D" w14:textId="77777777" w:rsidR="002A29E7" w:rsidRPr="00B3622E" w:rsidRDefault="002A29E7" w:rsidP="00B3622E">
      <w:pPr>
        <w:numPr>
          <w:ilvl w:val="0"/>
          <w:numId w:val="87"/>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Validation of clinical usability and workflow integration </w:t>
      </w:r>
    </w:p>
    <w:p w14:paraId="34EFCF06" w14:textId="77777777" w:rsidR="002A29E7" w:rsidRPr="00B3622E" w:rsidRDefault="002A29E7" w:rsidP="00B3622E">
      <w:pPr>
        <w:numPr>
          <w:ilvl w:val="0"/>
          <w:numId w:val="87"/>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Confirmation of staff training and awareness </w:t>
      </w:r>
    </w:p>
    <w:p w14:paraId="6EE5DC9D"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Completion of these activities is required as part of the NIR onboarding process and must be verified prior to go-live.</w:t>
      </w:r>
    </w:p>
    <w:p w14:paraId="034D5F29" w14:textId="5173F553" w:rsidR="002A29E7" w:rsidRPr="00B3622E" w:rsidRDefault="002A29E7" w:rsidP="00B3622E">
      <w:pPr>
        <w:spacing w:after="0" w:line="276" w:lineRule="auto"/>
        <w:rPr>
          <w:rFonts w:asciiTheme="minorHAnsi" w:hAnsiTheme="minorHAnsi" w:cstheme="minorHAnsi"/>
        </w:rPr>
      </w:pPr>
    </w:p>
    <w:p w14:paraId="4A485F91" w14:textId="77777777" w:rsidR="002A29E7" w:rsidRPr="00B3622E" w:rsidRDefault="002A29E7" w:rsidP="00B3622E">
      <w:pPr>
        <w:pStyle w:val="Heading3"/>
        <w:spacing w:line="276" w:lineRule="auto"/>
        <w:rPr>
          <w:rFonts w:cstheme="minorHAnsi"/>
        </w:rPr>
      </w:pPr>
      <w:r w:rsidRPr="00B3622E">
        <w:rPr>
          <w:rFonts w:cstheme="minorHAnsi"/>
        </w:rPr>
        <w:t>9. Clinical Safety Sign-Off and Release Governance</w:t>
      </w:r>
    </w:p>
    <w:p w14:paraId="558715F1" w14:textId="77777777" w:rsidR="002A29E7" w:rsidRPr="00B3622E"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Prior to release, the Clinical Safety Officer reviews:</w:t>
      </w:r>
    </w:p>
    <w:p w14:paraId="3A61AE58" w14:textId="77777777" w:rsidR="002A29E7" w:rsidRPr="00B3622E" w:rsidRDefault="002A29E7" w:rsidP="00B3622E">
      <w:pPr>
        <w:numPr>
          <w:ilvl w:val="0"/>
          <w:numId w:val="88"/>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The Hazard Log (HAZ001–HAZ011) </w:t>
      </w:r>
    </w:p>
    <w:p w14:paraId="506A401B" w14:textId="77777777" w:rsidR="002A29E7" w:rsidRPr="00B3622E" w:rsidRDefault="002A29E7" w:rsidP="00B3622E">
      <w:pPr>
        <w:numPr>
          <w:ilvl w:val="0"/>
          <w:numId w:val="88"/>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Testing and validation evidence </w:t>
      </w:r>
    </w:p>
    <w:p w14:paraId="172A395B" w14:textId="77777777" w:rsidR="002A29E7" w:rsidRPr="00B3622E" w:rsidRDefault="002A29E7" w:rsidP="00B3622E">
      <w:pPr>
        <w:numPr>
          <w:ilvl w:val="0"/>
          <w:numId w:val="88"/>
        </w:numPr>
        <w:spacing w:after="0" w:line="276" w:lineRule="auto"/>
        <w:textboxTightWrap w:val="none"/>
        <w:rPr>
          <w:rFonts w:asciiTheme="minorHAnsi" w:hAnsiTheme="minorHAnsi" w:cstheme="minorHAnsi"/>
        </w:rPr>
      </w:pPr>
      <w:r w:rsidRPr="00B3622E">
        <w:rPr>
          <w:rFonts w:asciiTheme="minorHAnsi" w:hAnsiTheme="minorHAnsi" w:cstheme="minorHAnsi"/>
        </w:rPr>
        <w:t xml:space="preserve">Supporting safety documentation </w:t>
      </w:r>
    </w:p>
    <w:p w14:paraId="6AA20D2B" w14:textId="4A46D471" w:rsidR="002A29E7" w:rsidRDefault="002A29E7" w:rsidP="00B3622E">
      <w:pPr>
        <w:pStyle w:val="NormalWeb"/>
        <w:spacing w:after="0" w:line="276" w:lineRule="auto"/>
        <w:rPr>
          <w:rFonts w:asciiTheme="minorHAnsi" w:hAnsiTheme="minorHAnsi" w:cstheme="minorHAnsi"/>
        </w:rPr>
      </w:pPr>
      <w:r w:rsidRPr="00B3622E">
        <w:rPr>
          <w:rFonts w:asciiTheme="minorHAnsi" w:hAnsiTheme="minorHAnsi" w:cstheme="minorHAnsi"/>
        </w:rPr>
        <w:t xml:space="preserve">This review confirms that all identified clinical risks have been reduced to a level that is </w:t>
      </w:r>
      <w:r w:rsidRPr="00B3622E">
        <w:rPr>
          <w:rStyle w:val="Strong"/>
          <w:rFonts w:cstheme="minorHAnsi"/>
          <w:b w:val="0"/>
          <w:bCs w:val="0"/>
        </w:rPr>
        <w:t>As Low As Reasonably Practicable (ALARP)</w:t>
      </w:r>
      <w:r w:rsidRPr="00B3622E">
        <w:rPr>
          <w:rFonts w:asciiTheme="minorHAnsi" w:hAnsiTheme="minorHAnsi" w:cstheme="minorHAnsi"/>
        </w:rPr>
        <w:t>. Formal release authorisation is provided through NIR programme governance, including Programme Board approval and Clinical Safety sign-off. All evidence is maintained within the Clinical Risk Management File (CRMF) (Ref 24) to ensure full auditability and traceability.</w:t>
      </w:r>
    </w:p>
    <w:p w14:paraId="57F84280" w14:textId="1B9C789D" w:rsidR="007F3D9D" w:rsidRPr="007F3D9D" w:rsidRDefault="007F3D9D" w:rsidP="007F3D9D">
      <w:pPr>
        <w:pStyle w:val="NormalWeb"/>
        <w:spacing w:after="0" w:line="276" w:lineRule="auto"/>
        <w:rPr>
          <w:rFonts w:asciiTheme="minorHAnsi" w:hAnsiTheme="minorHAnsi" w:cstheme="minorHAnsi"/>
        </w:rPr>
      </w:pPr>
      <w:r w:rsidRPr="007F3D9D">
        <w:rPr>
          <w:rFonts w:asciiTheme="minorHAnsi" w:hAnsiTheme="minorHAnsi" w:cstheme="minorHAnsi"/>
        </w:rPr>
        <w:t xml:space="preserve">All testing activities are explicitly traceable to the Hazard Log, ensuring that each identified risk control is verified through objective evidence. Safety-critical scenarios derived from the hazard analysis (including patient mismatch, incomplete retrieval, HCID exclusion behaviour, </w:t>
      </w:r>
      <w:r w:rsidRPr="007F3D9D">
        <w:rPr>
          <w:rFonts w:asciiTheme="minorHAnsi" w:hAnsiTheme="minorHAnsi" w:cstheme="minorHAnsi"/>
        </w:rPr>
        <w:lastRenderedPageBreak/>
        <w:t>and system unavailability) have been tested across integration and Private Beta environments to confirm safe system behaviour under both normal and fault conditions.</w:t>
      </w:r>
    </w:p>
    <w:p w14:paraId="390EB351" w14:textId="77777777" w:rsidR="00C464BA" w:rsidRPr="009973E3" w:rsidRDefault="00C464BA" w:rsidP="00EC0EB4">
      <w:pPr>
        <w:spacing w:after="160" w:line="278" w:lineRule="auto"/>
        <w:rPr>
          <w:sz w:val="22"/>
          <w:szCs w:val="22"/>
        </w:rPr>
      </w:pPr>
    </w:p>
    <w:p w14:paraId="5A9AB9B9" w14:textId="1F242396" w:rsidR="00D65BDC" w:rsidRPr="00D65BDC" w:rsidRDefault="00D65BDC" w:rsidP="00105D26">
      <w:pPr>
        <w:pStyle w:val="Heading2"/>
      </w:pPr>
      <w:bookmarkStart w:id="48" w:name="_Toc214870535"/>
      <w:r w:rsidRPr="00D65BDC">
        <w:t>Business Process Controls</w:t>
      </w:r>
      <w:bookmarkEnd w:id="48"/>
    </w:p>
    <w:p w14:paraId="5868CD22" w14:textId="21A97019" w:rsidR="00A448DF" w:rsidRPr="005F3C38" w:rsidRDefault="00A448DF" w:rsidP="005F3C38">
      <w:pPr>
        <w:spacing w:line="276" w:lineRule="auto"/>
      </w:pPr>
      <w:r w:rsidRPr="005F3C38">
        <w:t>Ongoing clinical safety assurance is maintained through a suite of business processes aligned with the NHS England Clinical Safety Management System (CSMS)</w:t>
      </w:r>
      <w:r w:rsidRPr="005F3C38">
        <w:rPr>
          <w:color w:val="auto"/>
        </w:rPr>
        <w:t xml:space="preserve"> </w:t>
      </w:r>
      <w:r w:rsidRPr="005F3C38">
        <w:t xml:space="preserve">(Ref </w:t>
      </w:r>
      <w:r w:rsidR="00251D8D" w:rsidRPr="005F3C38">
        <w:t>13</w:t>
      </w:r>
      <w:r w:rsidRPr="005F3C38">
        <w:t>). Oversight of clinical risk is embedded into the NIR programme’s change, release, and governance framework, ensuring that every technical or operational modification is subject to safety impact assessment. The Clinical Safety Officer participates in programme governance boards, design reviews, and change advisory meetings to maintain continuous oversight.</w:t>
      </w:r>
    </w:p>
    <w:p w14:paraId="585D7A81" w14:textId="7E5C36FB" w:rsidR="00A448DF" w:rsidRPr="005F3C38" w:rsidRDefault="00A448DF" w:rsidP="005F3C38">
      <w:pPr>
        <w:spacing w:line="276" w:lineRule="auto"/>
      </w:pPr>
      <w:r w:rsidRPr="005F3C38">
        <w:t>The NIR Hazard Log</w:t>
      </w:r>
      <w:r w:rsidRPr="005F3C38">
        <w:rPr>
          <w:color w:val="auto"/>
        </w:rPr>
        <w:t xml:space="preserve"> </w:t>
      </w:r>
      <w:r w:rsidRPr="005F3C38">
        <w:t>(</w:t>
      </w:r>
      <w:r w:rsidR="00376403">
        <w:t>Ref 3</w:t>
      </w:r>
      <w:r w:rsidRPr="005F3C38">
        <w:t>) is reviewed at regular intervals through the Clinical Safety Working Group (CSWG), with findings reported to the Programme Board. Supplier organisations are required to maintain current DCB 0160 compliance, verified through onboarding evidence and periodic assurance checks. The NIR Change Control Procedure ensures that any modification is evaluated for safety implications and approved through appropriate governance.</w:t>
      </w:r>
    </w:p>
    <w:p w14:paraId="7DC7EB5A" w14:textId="589C9618" w:rsidR="00D65BDC" w:rsidRPr="005F3C38" w:rsidRDefault="00A448DF" w:rsidP="005F3C38">
      <w:pPr>
        <w:spacing w:after="0" w:line="276" w:lineRule="auto"/>
      </w:pPr>
      <w:r w:rsidRPr="005F3C38">
        <w:t>All clinical safety artefacts</w:t>
      </w:r>
      <w:r w:rsidR="00251D8D" w:rsidRPr="005F3C38">
        <w:t xml:space="preserve">, </w:t>
      </w:r>
      <w:r w:rsidRPr="005F3C38">
        <w:t>including workshop outputs, hazard reviews, and test evidence</w:t>
      </w:r>
      <w:r w:rsidR="00251D8D" w:rsidRPr="005F3C38">
        <w:t xml:space="preserve">, </w:t>
      </w:r>
      <w:r w:rsidRPr="005F3C38">
        <w:t>are version controlled and stored in the Clinical Risk Management File (CRMF)</w:t>
      </w:r>
      <w:r w:rsidR="00AF12EB" w:rsidRPr="005F3C38">
        <w:rPr>
          <w:color w:val="auto"/>
        </w:rPr>
        <w:t xml:space="preserve"> </w:t>
      </w:r>
      <w:r w:rsidR="00AF12EB" w:rsidRPr="005F3C38">
        <w:t xml:space="preserve">(Ref </w:t>
      </w:r>
      <w:r w:rsidR="00D76401" w:rsidRPr="005F3C38">
        <w:t>24</w:t>
      </w:r>
      <w:r w:rsidR="00AF12EB" w:rsidRPr="005F3C38">
        <w:t>)</w:t>
      </w:r>
      <w:r w:rsidRPr="005F3C38">
        <w:t>. Periodic audits of this file confirm compliance with DCB 0129, ensuring that safety documentation remains current and reflective of the live operational environment.</w:t>
      </w:r>
    </w:p>
    <w:bookmarkEnd w:id="44"/>
    <w:p w14:paraId="72122554" w14:textId="508B82E4" w:rsidR="00030B76" w:rsidRPr="005F3C38" w:rsidRDefault="00C36837" w:rsidP="005F3C38">
      <w:pPr>
        <w:tabs>
          <w:tab w:val="left" w:pos="720"/>
        </w:tabs>
        <w:spacing w:after="0" w:line="276" w:lineRule="auto"/>
        <w:jc w:val="both"/>
        <w:rPr>
          <w:rFonts w:asciiTheme="minorHAnsi" w:hAnsiTheme="minorHAnsi" w:cstheme="minorHAnsi"/>
          <w:color w:val="auto"/>
          <w:sz w:val="22"/>
          <w:szCs w:val="22"/>
        </w:rPr>
      </w:pPr>
      <w:r w:rsidRPr="005F3C38">
        <w:t>Clinical safety assurance for deployment is integrated into the onboarding process, ensuring that required controls are not only defined but verified through structured governance and approval mechanisms prior to live operation.</w:t>
      </w:r>
    </w:p>
    <w:p w14:paraId="0B36A18B" w14:textId="77777777" w:rsidR="00C36837" w:rsidRPr="005F3C38" w:rsidRDefault="00C36837" w:rsidP="005F3C38">
      <w:pPr>
        <w:tabs>
          <w:tab w:val="left" w:pos="720"/>
        </w:tabs>
        <w:spacing w:after="0" w:line="276" w:lineRule="auto"/>
        <w:jc w:val="both"/>
        <w:rPr>
          <w:rFonts w:asciiTheme="minorHAnsi" w:hAnsiTheme="minorHAnsi" w:cstheme="minorHAnsi"/>
          <w:color w:val="auto"/>
          <w:sz w:val="22"/>
          <w:szCs w:val="22"/>
        </w:rPr>
      </w:pPr>
    </w:p>
    <w:p w14:paraId="6845CDFB" w14:textId="77777777" w:rsidR="00C36837" w:rsidRPr="005F3C38" w:rsidRDefault="00C36837"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The NIR onboarding process establishes a set of clinical safety guardrails to ensure safe and consistent deployment across organisations.</w:t>
      </w:r>
    </w:p>
    <w:p w14:paraId="58FBF1D2" w14:textId="77777777" w:rsidR="00C36837" w:rsidRPr="005F3C38" w:rsidRDefault="00C36837"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These guardrails include:</w:t>
      </w:r>
    </w:p>
    <w:p w14:paraId="5478E4BF" w14:textId="77777777" w:rsidR="00C36837" w:rsidRPr="005F3C38" w:rsidRDefault="00C36837"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 Completion of DCB0160 documentation (CSCR, Hazard Log, CRMP)</w:t>
      </w:r>
      <w:r w:rsidRPr="005F3C38">
        <w:rPr>
          <w:rFonts w:asciiTheme="minorHAnsi" w:hAnsiTheme="minorHAnsi" w:cstheme="minorHAnsi"/>
          <w:color w:val="auto"/>
          <w:lang w:eastAsia="en-GB"/>
        </w:rPr>
        <w:br/>
        <w:t>• Formal Clinical Safety Officer (CSO) accountability and sign-off</w:t>
      </w:r>
      <w:r w:rsidRPr="005F3C38">
        <w:rPr>
          <w:rFonts w:asciiTheme="minorHAnsi" w:hAnsiTheme="minorHAnsi" w:cstheme="minorHAnsi"/>
          <w:color w:val="auto"/>
          <w:lang w:eastAsia="en-GB"/>
        </w:rPr>
        <w:br/>
        <w:t>• Submission of a deployment Safety Form confirming implementation of local controls</w:t>
      </w:r>
      <w:r w:rsidRPr="005F3C38">
        <w:rPr>
          <w:rFonts w:asciiTheme="minorHAnsi" w:hAnsiTheme="minorHAnsi" w:cstheme="minorHAnsi"/>
          <w:color w:val="auto"/>
          <w:lang w:eastAsia="en-GB"/>
        </w:rPr>
        <w:br/>
        <w:t>• Verification of deployment readiness through structured onboarding aligned to the NHS England Digital Onboarding Service (DOS)</w:t>
      </w:r>
      <w:r w:rsidRPr="005F3C38">
        <w:rPr>
          <w:rFonts w:asciiTheme="minorHAnsi" w:hAnsiTheme="minorHAnsi" w:cstheme="minorHAnsi"/>
          <w:color w:val="auto"/>
          <w:lang w:eastAsia="en-GB"/>
        </w:rPr>
        <w:br/>
        <w:t>• Review and approval by the NIR Onboarding Governance Group prior to go-live</w:t>
      </w:r>
    </w:p>
    <w:p w14:paraId="3CEC5CF6" w14:textId="77777777" w:rsidR="00C36837" w:rsidRPr="005F3C38" w:rsidRDefault="00C36837"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Where deploying organisations require additional support to meet these requirements, targeted assistance is provided through the NIR ‘Tiger Team’, ensuring consistent application of clinical safety standards across all sites.</w:t>
      </w:r>
    </w:p>
    <w:p w14:paraId="52B72095" w14:textId="7F03561A" w:rsidR="00C36837" w:rsidRPr="00C36837" w:rsidRDefault="00C36837"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The NIR program does not take ownership of local DCB0160 documentation but requires formal confirmation of completion and verification of readiness prior to deployment.</w:t>
      </w:r>
    </w:p>
    <w:p w14:paraId="2FF43C31" w14:textId="77777777" w:rsidR="00C36837" w:rsidRDefault="00C36837" w:rsidP="00C36837">
      <w:pPr>
        <w:tabs>
          <w:tab w:val="left" w:pos="720"/>
        </w:tabs>
        <w:spacing w:after="0" w:line="276" w:lineRule="auto"/>
        <w:jc w:val="both"/>
        <w:rPr>
          <w:rFonts w:asciiTheme="minorHAnsi" w:hAnsiTheme="minorHAnsi" w:cstheme="minorHAnsi"/>
          <w:color w:val="auto"/>
          <w:sz w:val="22"/>
          <w:szCs w:val="22"/>
        </w:rPr>
      </w:pPr>
    </w:p>
    <w:p w14:paraId="4EEFA990" w14:textId="51A9CF27" w:rsidR="001E0AF6" w:rsidRDefault="001E0AF6" w:rsidP="00105D26">
      <w:pPr>
        <w:pStyle w:val="Heading2"/>
      </w:pPr>
      <w:r w:rsidRPr="005F3C38">
        <w:t xml:space="preserve">Onboarding and Deployment Guardrails </w:t>
      </w:r>
    </w:p>
    <w:p w14:paraId="67E409F0" w14:textId="77777777" w:rsidR="001E0AF6" w:rsidRPr="005F3C38" w:rsidRDefault="001E0AF6"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The NIR onboarding process establishes a set of guardrails to ensure safe and consistent deployment across organisations.</w:t>
      </w:r>
    </w:p>
    <w:p w14:paraId="325E34F9" w14:textId="77777777" w:rsidR="001E0AF6" w:rsidRPr="005F3C38" w:rsidRDefault="001E0AF6"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These guardrails distinguish between:</w:t>
      </w:r>
    </w:p>
    <w:p w14:paraId="632306CD" w14:textId="77777777" w:rsidR="001E0AF6" w:rsidRPr="005F3C38" w:rsidRDefault="001E0AF6"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lastRenderedPageBreak/>
        <w:t>• Technical assurance (supplier conformance, interoperability testing, security controls)</w:t>
      </w:r>
      <w:r w:rsidRPr="005F3C38">
        <w:rPr>
          <w:rFonts w:asciiTheme="minorHAnsi" w:hAnsiTheme="minorHAnsi" w:cstheme="minorHAnsi"/>
          <w:color w:val="auto"/>
          <w:lang w:eastAsia="en-GB"/>
        </w:rPr>
        <w:br/>
        <w:t>• Local deployment assurance (DCB0160 responsibilities)</w:t>
      </w:r>
    </w:p>
    <w:p w14:paraId="51C8D837" w14:textId="77777777" w:rsidR="001E0AF6" w:rsidRPr="005F3C38" w:rsidRDefault="001E0AF6"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As part of onboarding, each deploying organisation is required to confirm:</w:t>
      </w:r>
    </w:p>
    <w:p w14:paraId="211B857B" w14:textId="77777777" w:rsidR="001E0AF6" w:rsidRPr="005F3C38" w:rsidRDefault="001E0AF6" w:rsidP="005F3C38">
      <w:pPr>
        <w:spacing w:after="0"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 Completion of DCB0160 documentation (CSCR, Hazard Log, CRMP)</w:t>
      </w:r>
      <w:r w:rsidRPr="005F3C38">
        <w:rPr>
          <w:rFonts w:asciiTheme="minorHAnsi" w:hAnsiTheme="minorHAnsi" w:cstheme="minorHAnsi"/>
          <w:color w:val="auto"/>
          <w:lang w:eastAsia="en-GB"/>
        </w:rPr>
        <w:br/>
        <w:t>• Clinical Safety Officer (CSO) sign-off</w:t>
      </w:r>
      <w:r w:rsidRPr="005F3C38">
        <w:rPr>
          <w:rFonts w:asciiTheme="minorHAnsi" w:hAnsiTheme="minorHAnsi" w:cstheme="minorHAnsi"/>
          <w:color w:val="auto"/>
          <w:lang w:eastAsia="en-GB"/>
        </w:rPr>
        <w:br/>
        <w:t>• Implementation of key local operational controls (training, SOPs, access governance, audit logging, escalation processes)</w:t>
      </w:r>
    </w:p>
    <w:p w14:paraId="6AF05E07" w14:textId="77777777" w:rsidR="00947FE8" w:rsidRDefault="00DC1281" w:rsidP="00947FE8">
      <w:pPr>
        <w:spacing w:line="276" w:lineRule="auto"/>
      </w:pPr>
      <w:r w:rsidRPr="005F3C38">
        <w:t>The NIR program does not review or approve local DCB0160 documentation but requires confirmation of completion and CSO sign-off prior to go-live.</w:t>
      </w:r>
      <w:r w:rsidR="00947FE8">
        <w:t xml:space="preserve"> </w:t>
      </w:r>
    </w:p>
    <w:p w14:paraId="76EE53E7" w14:textId="4A3B95D8" w:rsidR="00947FE8" w:rsidRPr="00947FE8" w:rsidRDefault="00947FE8" w:rsidP="00947FE8">
      <w:pPr>
        <w:spacing w:line="276" w:lineRule="auto"/>
      </w:pPr>
      <w:r w:rsidRPr="00947FE8">
        <w:t>Certain residual risks, particularly those relating to clinical interpretation, workflow behaviour, and appropriate use of fallback processes, are controlled through user training and local operational procedures.</w:t>
      </w:r>
      <w:r>
        <w:t xml:space="preserve"> </w:t>
      </w:r>
      <w:r w:rsidRPr="00947FE8">
        <w:t>These risks are explicitly transferred to deploying organisations under DCB0160 and must be addressed through local SOPs, training, and governance prior to go-live.</w:t>
      </w:r>
    </w:p>
    <w:p w14:paraId="24E309F8" w14:textId="77777777" w:rsidR="001E0AF6" w:rsidRPr="001E0AF6" w:rsidRDefault="001E0AF6" w:rsidP="001E0AF6">
      <w:pPr>
        <w:rPr>
          <w:highlight w:val="yellow"/>
        </w:rPr>
      </w:pPr>
    </w:p>
    <w:p w14:paraId="0ED3C9E7" w14:textId="4A7B8EC1" w:rsidR="008C2DAD" w:rsidRPr="00BD7FB4" w:rsidRDefault="008C2DAD" w:rsidP="00105D26">
      <w:pPr>
        <w:pStyle w:val="Heading2"/>
      </w:pPr>
      <w:bookmarkStart w:id="49" w:name="_Toc214870536"/>
      <w:r w:rsidRPr="00BD7FB4">
        <w:t>Hazard Log</w:t>
      </w:r>
      <w:bookmarkEnd w:id="49"/>
    </w:p>
    <w:p w14:paraId="134B920D" w14:textId="0460A7B5" w:rsidR="00620675" w:rsidRPr="005F3C38" w:rsidRDefault="00620675" w:rsidP="005F3C38">
      <w:pPr>
        <w:spacing w:line="276" w:lineRule="auto"/>
      </w:pPr>
      <w:r w:rsidRPr="005F3C38">
        <w:t>The Hazard Log</w:t>
      </w:r>
      <w:r w:rsidRPr="005F3C38">
        <w:rPr>
          <w:b/>
          <w:bCs/>
        </w:rPr>
        <w:t xml:space="preserve"> </w:t>
      </w:r>
      <w:r w:rsidRPr="005F3C38">
        <w:t xml:space="preserve"> (Ref</w:t>
      </w:r>
      <w:r w:rsidR="00D76401" w:rsidRPr="005F3C38">
        <w:t>:</w:t>
      </w:r>
      <w:r w:rsidRPr="005F3C38">
        <w:t xml:space="preserve"> </w:t>
      </w:r>
      <w:r w:rsidR="00251D8D" w:rsidRPr="005F3C38">
        <w:t>2</w:t>
      </w:r>
      <w:r w:rsidRPr="005F3C38">
        <w:t xml:space="preserve">) provides comprehensive coverage of foreseeable clinical risks associated with </w:t>
      </w:r>
      <w:r w:rsidRPr="005F3C38">
        <w:rPr>
          <w:color w:val="auto"/>
        </w:rPr>
        <w:t xml:space="preserve">NIR </w:t>
      </w:r>
      <w:r w:rsidR="0088086A" w:rsidRPr="005F3C38">
        <w:rPr>
          <w:rFonts w:asciiTheme="minorHAnsi" w:hAnsiTheme="minorHAnsi" w:cstheme="minorBidi"/>
          <w:color w:val="auto"/>
        </w:rPr>
        <w:t>Discovery &amp; Report Retrieval and Image retrieval for the XCA endpoint</w:t>
      </w:r>
      <w:r w:rsidRPr="005F3C38">
        <w:rPr>
          <w:color w:val="auto"/>
        </w:rPr>
        <w:t xml:space="preserve">. It evidences effective control implementation </w:t>
      </w:r>
      <w:r w:rsidRPr="005F3C38">
        <w:t>across technical, procedural, and organisational domains.</w:t>
      </w:r>
      <w:r w:rsidRPr="005F3C38">
        <w:br/>
        <w:t xml:space="preserve">Residual risk is low and within acceptable DCB 0129 limits, confirming that no uncontrolled or unmitigated clinical hazards remain. Ongoing monitoring of the </w:t>
      </w:r>
      <w:r w:rsidR="002D0F4B" w:rsidRPr="005F3C38">
        <w:t>three</w:t>
      </w:r>
      <w:r w:rsidRPr="005F3C38">
        <w:t xml:space="preserve"> identified “hazards of note” through live operational data and periodic safety review will maintain assurance as the NIR transitions to wider adoption.</w:t>
      </w:r>
    </w:p>
    <w:p w14:paraId="3A2FAAB3" w14:textId="552EAA5A" w:rsidR="00E579EA" w:rsidRPr="005F3C38" w:rsidRDefault="00E579EA" w:rsidP="005F3C38">
      <w:pPr>
        <w:spacing w:line="276" w:lineRule="auto"/>
        <w:rPr>
          <w:rFonts w:asciiTheme="minorHAnsi" w:hAnsiTheme="minorHAnsi" w:cstheme="minorHAnsi"/>
          <w:color w:val="auto"/>
        </w:rPr>
      </w:pPr>
      <w:r w:rsidRPr="005F3C38">
        <w:rPr>
          <w:rFonts w:asciiTheme="minorHAnsi" w:hAnsiTheme="minorHAnsi" w:cstheme="minorHAnsi"/>
          <w:color w:val="auto"/>
        </w:rPr>
        <w:t>The HL is provided in UK NHS format and</w:t>
      </w:r>
      <w:r w:rsidR="005B5BEF" w:rsidRPr="005F3C38">
        <w:rPr>
          <w:rFonts w:asciiTheme="minorHAnsi" w:hAnsiTheme="minorHAnsi" w:cstheme="minorHAnsi"/>
          <w:color w:val="auto"/>
        </w:rPr>
        <w:t>, on completion,</w:t>
      </w:r>
      <w:r w:rsidRPr="005F3C38">
        <w:rPr>
          <w:rFonts w:asciiTheme="minorHAnsi" w:hAnsiTheme="minorHAnsi" w:cstheme="minorHAnsi"/>
          <w:color w:val="auto"/>
        </w:rPr>
        <w:t xml:space="preserve"> is a live document which is constantly updated through the life cycle of the </w:t>
      </w:r>
      <w:r w:rsidR="005A229C" w:rsidRPr="005F3C38">
        <w:rPr>
          <w:rFonts w:asciiTheme="minorHAnsi" w:hAnsiTheme="minorHAnsi" w:cstheme="minorHAnsi"/>
          <w:color w:val="auto"/>
        </w:rPr>
        <w:t>Solution</w:t>
      </w:r>
      <w:r w:rsidRPr="005F3C38">
        <w:rPr>
          <w:rFonts w:asciiTheme="minorHAnsi" w:hAnsiTheme="minorHAnsi" w:cstheme="minorHAnsi"/>
          <w:color w:val="auto"/>
        </w:rPr>
        <w:t>. This includes the following components: </w:t>
      </w:r>
    </w:p>
    <w:p w14:paraId="51B459F6" w14:textId="77777777" w:rsidR="00E579EA" w:rsidRPr="005F3C38" w:rsidRDefault="00E579EA" w:rsidP="005F3C38">
      <w:pPr>
        <w:pStyle w:val="ListParagraph"/>
        <w:numPr>
          <w:ilvl w:val="0"/>
          <w:numId w:val="56"/>
        </w:numPr>
        <w:spacing w:line="276" w:lineRule="auto"/>
      </w:pPr>
      <w:r w:rsidRPr="005F3C38">
        <w:t>Hazard identification </w:t>
      </w:r>
    </w:p>
    <w:p w14:paraId="0EEC1068" w14:textId="77777777" w:rsidR="00E579EA" w:rsidRPr="005F3C38" w:rsidRDefault="00E579EA" w:rsidP="005F3C38">
      <w:pPr>
        <w:pStyle w:val="ListParagraph"/>
        <w:numPr>
          <w:ilvl w:val="0"/>
          <w:numId w:val="56"/>
        </w:numPr>
        <w:spacing w:line="276" w:lineRule="auto"/>
      </w:pPr>
      <w:r w:rsidRPr="005F3C38">
        <w:t>Description of patient safety consequences </w:t>
      </w:r>
    </w:p>
    <w:p w14:paraId="113E17B0" w14:textId="77777777" w:rsidR="00E579EA" w:rsidRPr="005F3C38" w:rsidRDefault="00E579EA" w:rsidP="005F3C38">
      <w:pPr>
        <w:pStyle w:val="ListParagraph"/>
        <w:numPr>
          <w:ilvl w:val="0"/>
          <w:numId w:val="56"/>
        </w:numPr>
        <w:spacing w:line="276" w:lineRule="auto"/>
      </w:pPr>
      <w:r w:rsidRPr="005F3C38">
        <w:t>Explanation of hazard causes and contributory conditions </w:t>
      </w:r>
    </w:p>
    <w:p w14:paraId="161F6D5E" w14:textId="77777777" w:rsidR="00E579EA" w:rsidRPr="005F3C38" w:rsidRDefault="00E579EA" w:rsidP="005F3C38">
      <w:pPr>
        <w:pStyle w:val="ListParagraph"/>
        <w:numPr>
          <w:ilvl w:val="0"/>
          <w:numId w:val="56"/>
        </w:numPr>
        <w:spacing w:line="276" w:lineRule="auto"/>
      </w:pPr>
      <w:r w:rsidRPr="005F3C38">
        <w:t>Identification of existing mitigating controls </w:t>
      </w:r>
    </w:p>
    <w:p w14:paraId="4EB36BFD" w14:textId="77777777" w:rsidR="00E579EA" w:rsidRPr="005F3C38" w:rsidRDefault="00E579EA" w:rsidP="005F3C38">
      <w:pPr>
        <w:pStyle w:val="ListParagraph"/>
        <w:numPr>
          <w:ilvl w:val="0"/>
          <w:numId w:val="56"/>
        </w:numPr>
        <w:spacing w:line="276" w:lineRule="auto"/>
      </w:pPr>
      <w:r w:rsidRPr="005F3C38">
        <w:t>Estimation of clinical risk </w:t>
      </w:r>
    </w:p>
    <w:p w14:paraId="5442B5A1" w14:textId="77777777" w:rsidR="00E579EA" w:rsidRPr="005F3C38" w:rsidRDefault="00E579EA" w:rsidP="005F3C38">
      <w:pPr>
        <w:pStyle w:val="ListParagraph"/>
        <w:numPr>
          <w:ilvl w:val="0"/>
          <w:numId w:val="56"/>
        </w:numPr>
        <w:spacing w:line="276" w:lineRule="auto"/>
      </w:pPr>
      <w:r w:rsidRPr="005F3C38">
        <w:t>Identification of participating personnel </w:t>
      </w:r>
    </w:p>
    <w:p w14:paraId="709E465C" w14:textId="108D5F1E" w:rsidR="00C418D7" w:rsidRPr="005F3C38" w:rsidRDefault="00E579EA" w:rsidP="005F3C38">
      <w:pPr>
        <w:spacing w:line="276" w:lineRule="auto"/>
      </w:pPr>
      <w:r w:rsidRPr="005F3C38">
        <w:t>This document, and associated CSCR, provide evidence to support compliance with DCB0129</w:t>
      </w:r>
      <w:r w:rsidR="00104CFD" w:rsidRPr="005F3C38">
        <w:t xml:space="preserve"> and </w:t>
      </w:r>
      <w:r w:rsidR="00AD2B5A" w:rsidRPr="005F3C38">
        <w:t xml:space="preserve">is located </w:t>
      </w:r>
      <w:r w:rsidR="002F0A03" w:rsidRPr="005F3C38">
        <w:t>i</w:t>
      </w:r>
      <w:r w:rsidR="00AD2B5A" w:rsidRPr="005F3C38">
        <w:t>n</w:t>
      </w:r>
      <w:r w:rsidR="00D363B4" w:rsidRPr="005F3C38">
        <w:t xml:space="preserve"> NIR </w:t>
      </w:r>
      <w:r w:rsidR="00D61D5C" w:rsidRPr="005F3C38">
        <w:t>Confluence</w:t>
      </w:r>
      <w:r w:rsidR="00AD2B5A" w:rsidRPr="005F3C38">
        <w:t>. This will be constantly updated and is attached to this document for information.  The </w:t>
      </w:r>
      <w:r w:rsidR="00FB7E88" w:rsidRPr="005F3C38">
        <w:t>H</w:t>
      </w:r>
      <w:r w:rsidR="00656C7F" w:rsidRPr="005F3C38">
        <w:t>azard Log</w:t>
      </w:r>
      <w:r w:rsidR="00AD2B5A" w:rsidRPr="005F3C38">
        <w:t xml:space="preserve"> </w:t>
      </w:r>
      <w:r w:rsidR="00882250" w:rsidRPr="005F3C38">
        <w:t>(</w:t>
      </w:r>
      <w:r w:rsidR="00376403">
        <w:t>Ref 3</w:t>
      </w:r>
      <w:r w:rsidR="00882250" w:rsidRPr="005F3C38">
        <w:t>)</w:t>
      </w:r>
      <w:r w:rsidR="00AD2B5A" w:rsidRPr="005F3C38">
        <w:t xml:space="preserve"> </w:t>
      </w:r>
      <w:r w:rsidR="00407CC9" w:rsidRPr="005F3C38">
        <w:t xml:space="preserve">is </w:t>
      </w:r>
      <w:r w:rsidR="00AD2B5A" w:rsidRPr="005F3C38">
        <w:t xml:space="preserve">version </w:t>
      </w:r>
      <w:r w:rsidR="00D363B4" w:rsidRPr="005F3C38">
        <w:t>1.3</w:t>
      </w:r>
      <w:r w:rsidR="00AD2B5A" w:rsidRPr="005F3C38">
        <w:t xml:space="preserve"> </w:t>
      </w:r>
      <w:r w:rsidR="00A73BC7" w:rsidRPr="005F3C38">
        <w:t xml:space="preserve">at </w:t>
      </w:r>
      <w:r w:rsidR="00DA241D" w:rsidRPr="005F3C38">
        <w:t xml:space="preserve">the </w:t>
      </w:r>
      <w:r w:rsidR="00A73BC7" w:rsidRPr="005F3C38">
        <w:t>point of completion of</w:t>
      </w:r>
      <w:r w:rsidR="00AD2B5A" w:rsidRPr="005F3C38">
        <w:t xml:space="preserve"> this </w:t>
      </w:r>
      <w:r w:rsidR="00DE3632" w:rsidRPr="005F3C38">
        <w:t>CSCR</w:t>
      </w:r>
      <w:r w:rsidR="00AD2B5A" w:rsidRPr="005F3C38">
        <w:t>.</w:t>
      </w:r>
    </w:p>
    <w:p w14:paraId="3F806B4A" w14:textId="406CAD11" w:rsidR="002F7A0B" w:rsidRPr="005F3C38" w:rsidRDefault="002F7A0B" w:rsidP="005F3C38">
      <w:pPr>
        <w:spacing w:line="276" w:lineRule="auto"/>
      </w:pPr>
      <w:r w:rsidRPr="005F3C38">
        <w:t>The National Image Registry (NIR) Hazard Log (</w:t>
      </w:r>
      <w:r w:rsidR="00376403">
        <w:t>Ref 3</w:t>
      </w:r>
      <w:r w:rsidRPr="005F3C38">
        <w:t xml:space="preserve">) identifies, evaluates, and controls the clinical risks associated with the design, deployment, and </w:t>
      </w:r>
      <w:r w:rsidRPr="005F3C38">
        <w:rPr>
          <w:color w:val="auto"/>
        </w:rPr>
        <w:t xml:space="preserve">early operation of the NIR  </w:t>
      </w:r>
      <w:r w:rsidR="0088086A" w:rsidRPr="005F3C38">
        <w:rPr>
          <w:rFonts w:asciiTheme="minorHAnsi" w:hAnsiTheme="minorHAnsi" w:cstheme="minorBidi"/>
          <w:color w:val="auto"/>
        </w:rPr>
        <w:lastRenderedPageBreak/>
        <w:t>Discovery &amp; Report Retrieval and Image retrieval for the XCA endpoint</w:t>
      </w:r>
      <w:r w:rsidRPr="005F3C38">
        <w:rPr>
          <w:color w:val="auto"/>
        </w:rPr>
        <w:t>.</w:t>
      </w:r>
      <w:r w:rsidRPr="005F3C38">
        <w:br/>
        <w:t xml:space="preserve">It records </w:t>
      </w:r>
      <w:r w:rsidR="00AC2FB5" w:rsidRPr="005F3C38">
        <w:t>1</w:t>
      </w:r>
      <w:r w:rsidR="002A29E7" w:rsidRPr="005F3C38">
        <w:t>1</w:t>
      </w:r>
      <w:r w:rsidRPr="005F3C38">
        <w:t xml:space="preserve"> distinct hazards, each reviewed through multidisciplinary workshops and clinical safety review sessions in accordance with DCB 0129 Section 4.4.</w:t>
      </w:r>
      <w:r w:rsidRPr="005F3C38">
        <w:br/>
        <w:t>Every entry captures the potential cause, clinical consequence, control measures, residual risk, and responsible owner, providing traceability between the NIR safety analysis and its mitigations.</w:t>
      </w:r>
    </w:p>
    <w:p w14:paraId="3CA0D125" w14:textId="77777777" w:rsidR="002F7A0B" w:rsidRPr="005F3C38" w:rsidRDefault="002F7A0B" w:rsidP="005F3C38">
      <w:pPr>
        <w:spacing w:line="276" w:lineRule="auto"/>
      </w:pPr>
      <w:r w:rsidRPr="005F3C38">
        <w:t>The hazards are grouped into five principal domains that reflect the technical and operational characteristics of the NIR:</w:t>
      </w:r>
    </w:p>
    <w:p w14:paraId="00845B6D" w14:textId="77777777" w:rsidR="002F7A0B" w:rsidRPr="005F3C38" w:rsidRDefault="002F7A0B" w:rsidP="005F3C38">
      <w:pPr>
        <w:pStyle w:val="ListParagraph"/>
        <w:numPr>
          <w:ilvl w:val="0"/>
          <w:numId w:val="45"/>
        </w:numPr>
        <w:spacing w:after="160" w:line="276" w:lineRule="auto"/>
        <w:contextualSpacing/>
        <w:textboxTightWrap w:val="none"/>
      </w:pPr>
      <w:r w:rsidRPr="005F3C38">
        <w:t>Data Quality and Metadata Integrity</w:t>
      </w:r>
    </w:p>
    <w:p w14:paraId="70B4160C" w14:textId="77777777" w:rsidR="002F7A0B" w:rsidRPr="005F3C38" w:rsidRDefault="002F7A0B" w:rsidP="005F3C38">
      <w:pPr>
        <w:pStyle w:val="ListParagraph"/>
        <w:numPr>
          <w:ilvl w:val="0"/>
          <w:numId w:val="45"/>
        </w:numPr>
        <w:spacing w:after="160" w:line="276" w:lineRule="auto"/>
        <w:contextualSpacing/>
        <w:textboxTightWrap w:val="none"/>
      </w:pPr>
      <w:r w:rsidRPr="005F3C38">
        <w:t>Data Retrieval and Availability Failures</w:t>
      </w:r>
    </w:p>
    <w:p w14:paraId="47BEC611" w14:textId="77777777" w:rsidR="002F7A0B" w:rsidRPr="005F3C38" w:rsidRDefault="002F7A0B" w:rsidP="005F3C38">
      <w:pPr>
        <w:pStyle w:val="ListParagraph"/>
        <w:numPr>
          <w:ilvl w:val="0"/>
          <w:numId w:val="45"/>
        </w:numPr>
        <w:spacing w:after="160" w:line="276" w:lineRule="auto"/>
        <w:contextualSpacing/>
        <w:textboxTightWrap w:val="none"/>
      </w:pPr>
      <w:r w:rsidRPr="005F3C38">
        <w:t>System Configuration, Access, and User Error</w:t>
      </w:r>
    </w:p>
    <w:p w14:paraId="7CC15B5B" w14:textId="77777777" w:rsidR="002F7A0B" w:rsidRPr="005F3C38" w:rsidRDefault="002F7A0B" w:rsidP="005F3C38">
      <w:pPr>
        <w:pStyle w:val="ListParagraph"/>
        <w:numPr>
          <w:ilvl w:val="0"/>
          <w:numId w:val="45"/>
        </w:numPr>
        <w:spacing w:after="160" w:line="276" w:lineRule="auto"/>
        <w:contextualSpacing/>
        <w:textboxTightWrap w:val="none"/>
      </w:pPr>
      <w:r w:rsidRPr="005F3C38">
        <w:t>Interoperability and Network Dependencies</w:t>
      </w:r>
    </w:p>
    <w:p w14:paraId="20DAA274" w14:textId="77777777" w:rsidR="002F7A0B" w:rsidRPr="005F3C38" w:rsidRDefault="002F7A0B" w:rsidP="005F3C38">
      <w:pPr>
        <w:pStyle w:val="ListParagraph"/>
        <w:numPr>
          <w:ilvl w:val="0"/>
          <w:numId w:val="45"/>
        </w:numPr>
        <w:spacing w:after="160" w:line="276" w:lineRule="auto"/>
        <w:contextualSpacing/>
        <w:textboxTightWrap w:val="none"/>
      </w:pPr>
      <w:r w:rsidRPr="005F3C38">
        <w:t>Operational Governance and Escalation Pathways</w:t>
      </w:r>
    </w:p>
    <w:p w14:paraId="0F9B9166" w14:textId="567EA22E" w:rsidR="002D0F4B" w:rsidRPr="0052511A" w:rsidRDefault="002D0F4B" w:rsidP="00B3622E">
      <w:pPr>
        <w:pStyle w:val="Heading3"/>
        <w:rPr>
          <w:sz w:val="28"/>
          <w:szCs w:val="28"/>
        </w:rPr>
      </w:pPr>
      <w:r w:rsidRPr="0052511A">
        <w:t>Data Quality and Metadata Integrity</w:t>
      </w:r>
    </w:p>
    <w:p w14:paraId="5E25B6CB" w14:textId="77777777" w:rsidR="002D0F4B" w:rsidRPr="005F3C38" w:rsidRDefault="002D0F4B" w:rsidP="005F3C38">
      <w:pPr>
        <w:spacing w:line="276" w:lineRule="auto"/>
        <w:rPr>
          <w:color w:val="auto"/>
        </w:rPr>
      </w:pPr>
      <w:r w:rsidRPr="005F3C38">
        <w:rPr>
          <w:color w:val="auto"/>
        </w:rPr>
        <w:t>This domain captures risks relating to inconsistent or corrupted metadata entering the registry from local imaging systems (PACS/VNA) or upstream integrations.</w:t>
      </w:r>
      <w:r w:rsidRPr="005F3C38">
        <w:rPr>
          <w:color w:val="auto"/>
        </w:rPr>
        <w:br/>
      </w:r>
      <w:r w:rsidRPr="005F3C38">
        <w:rPr>
          <w:rStyle w:val="Strong"/>
          <w:rFonts w:cstheme="minorHAnsi"/>
          <w:b w:val="0"/>
          <w:bCs w:val="0"/>
          <w:color w:val="auto"/>
        </w:rPr>
        <w:t>HAZ001</w:t>
      </w:r>
      <w:r w:rsidRPr="005F3C38">
        <w:rPr>
          <w:b/>
          <w:bCs/>
          <w:color w:val="auto"/>
        </w:rPr>
        <w:t xml:space="preserve">, </w:t>
      </w:r>
      <w:r w:rsidRPr="005F3C38">
        <w:rPr>
          <w:rStyle w:val="Strong"/>
          <w:rFonts w:cstheme="minorHAnsi"/>
          <w:b w:val="0"/>
          <w:bCs w:val="0"/>
          <w:color w:val="auto"/>
        </w:rPr>
        <w:t>HAZ002</w:t>
      </w:r>
      <w:r w:rsidRPr="005F3C38">
        <w:rPr>
          <w:b/>
          <w:bCs/>
          <w:color w:val="auto"/>
        </w:rPr>
        <w:t xml:space="preserve">, </w:t>
      </w:r>
      <w:r w:rsidRPr="005F3C38">
        <w:rPr>
          <w:color w:val="auto"/>
        </w:rPr>
        <w:t>and</w:t>
      </w:r>
      <w:r w:rsidRPr="005F3C38">
        <w:rPr>
          <w:b/>
          <w:bCs/>
          <w:color w:val="auto"/>
        </w:rPr>
        <w:t xml:space="preserve"> </w:t>
      </w:r>
      <w:r w:rsidRPr="005F3C38">
        <w:rPr>
          <w:rStyle w:val="Strong"/>
          <w:rFonts w:cstheme="minorHAnsi"/>
          <w:b w:val="0"/>
          <w:bCs w:val="0"/>
          <w:color w:val="auto"/>
        </w:rPr>
        <w:t>HAZ003</w:t>
      </w:r>
      <w:r w:rsidRPr="005F3C38">
        <w:rPr>
          <w:color w:val="auto"/>
        </w:rPr>
        <w:t xml:space="preserve"> describe scenarios where incomplete data, inconsistent identifiers, or patient mismatching could result in incorrect or missing clinical information at the point of care.</w:t>
      </w:r>
    </w:p>
    <w:p w14:paraId="67E2612F" w14:textId="77777777" w:rsidR="002D0F4B" w:rsidRPr="005F3C38" w:rsidRDefault="002D0F4B" w:rsidP="005F3C38">
      <w:pPr>
        <w:spacing w:line="276" w:lineRule="auto"/>
        <w:rPr>
          <w:color w:val="auto"/>
        </w:rPr>
      </w:pPr>
      <w:r w:rsidRPr="005F3C38">
        <w:rPr>
          <w:color w:val="auto"/>
        </w:rPr>
        <w:t>The potential clinical effects include mis-association of imaging data to the wrong patient, incorrect interpretation, or repeated imaging.</w:t>
      </w:r>
    </w:p>
    <w:p w14:paraId="72B7474D" w14:textId="77777777" w:rsidR="002D0F4B" w:rsidRPr="005F3C38" w:rsidRDefault="002D0F4B" w:rsidP="005F3C38">
      <w:pPr>
        <w:spacing w:line="276" w:lineRule="auto"/>
        <w:rPr>
          <w:color w:val="auto"/>
        </w:rPr>
      </w:pPr>
      <w:r w:rsidRPr="005F3C38">
        <w:rPr>
          <w:rStyle w:val="Strong"/>
          <w:rFonts w:cstheme="minorHAnsi"/>
          <w:b w:val="0"/>
          <w:bCs w:val="0"/>
          <w:color w:val="auto"/>
        </w:rPr>
        <w:t>Mitigations</w:t>
      </w:r>
      <w:r w:rsidRPr="005F3C38">
        <w:rPr>
          <w:b/>
          <w:bCs/>
          <w:color w:val="auto"/>
        </w:rPr>
        <w:t xml:space="preserve"> </w:t>
      </w:r>
      <w:r w:rsidRPr="005F3C38">
        <w:rPr>
          <w:color w:val="auto"/>
        </w:rPr>
        <w:t>include mandatory NHS Number and DICOM UID validation, schema conformance testing, rejection of malformed messages, and audit logging of metadata transactions.</w:t>
      </w:r>
      <w:r w:rsidRPr="005F3C38">
        <w:rPr>
          <w:color w:val="auto"/>
        </w:rPr>
        <w:br/>
        <w:t>Supplier validation is verified through the NHS England Digital Onboarding Process, and all metadata exchanges are logged and traceable.</w:t>
      </w:r>
    </w:p>
    <w:p w14:paraId="7C373F25" w14:textId="77777777" w:rsidR="002D0F4B" w:rsidRPr="005F3C38" w:rsidRDefault="002D0F4B" w:rsidP="005F3C38">
      <w:pPr>
        <w:spacing w:line="276" w:lineRule="auto"/>
        <w:rPr>
          <w:color w:val="auto"/>
        </w:rPr>
      </w:pPr>
      <w:r w:rsidRPr="005F3C38">
        <w:rPr>
          <w:rStyle w:val="Strong"/>
          <w:rFonts w:cstheme="minorHAnsi"/>
          <w:b w:val="0"/>
          <w:bCs w:val="0"/>
          <w:color w:val="auto"/>
        </w:rPr>
        <w:t>Residual risks</w:t>
      </w:r>
      <w:r w:rsidRPr="005F3C38">
        <w:rPr>
          <w:color w:val="auto"/>
        </w:rPr>
        <w:t xml:space="preserve"> for this group are generally low (1–2). However, </w:t>
      </w:r>
      <w:r w:rsidRPr="005F3C38">
        <w:rPr>
          <w:rStyle w:val="Strong"/>
          <w:rFonts w:cstheme="minorHAnsi"/>
          <w:b w:val="0"/>
          <w:bCs w:val="0"/>
          <w:color w:val="auto"/>
        </w:rPr>
        <w:t>HAZ001 – Incorrect patient–image matching</w:t>
      </w:r>
      <w:r w:rsidRPr="005F3C38">
        <w:rPr>
          <w:color w:val="auto"/>
        </w:rPr>
        <w:t xml:space="preserve"> remains a </w:t>
      </w:r>
      <w:r w:rsidRPr="005F3C38">
        <w:rPr>
          <w:rStyle w:val="Emphasis"/>
          <w:rFonts w:asciiTheme="minorHAnsi" w:hAnsiTheme="minorHAnsi" w:cstheme="minorHAnsi"/>
          <w:color w:val="auto"/>
        </w:rPr>
        <w:t>hazard of note</w:t>
      </w:r>
      <w:r w:rsidRPr="005F3C38">
        <w:rPr>
          <w:color w:val="auto"/>
        </w:rPr>
        <w:t xml:space="preserve"> due to its potential for serious clinical consequences despite low likelihood. Ongoing monitoring and validation reporting are recommended.</w:t>
      </w:r>
    </w:p>
    <w:p w14:paraId="2F529B66" w14:textId="77777777" w:rsidR="00250578" w:rsidRPr="0052511A" w:rsidRDefault="00250578" w:rsidP="002F7A0B">
      <w:pPr>
        <w:spacing w:after="160" w:line="278" w:lineRule="auto"/>
        <w:rPr>
          <w:b/>
          <w:bCs/>
          <w:color w:val="00B050"/>
        </w:rPr>
      </w:pPr>
    </w:p>
    <w:p w14:paraId="633B5E62" w14:textId="76700C88" w:rsidR="00250578" w:rsidRPr="00983EF4" w:rsidRDefault="00250578" w:rsidP="00B3622E">
      <w:pPr>
        <w:pStyle w:val="Heading3"/>
      </w:pPr>
      <w:r w:rsidRPr="00983EF4">
        <w:t>Data Retrieval and Availability Failures</w:t>
      </w:r>
    </w:p>
    <w:p w14:paraId="77A0D07B" w14:textId="77777777" w:rsidR="00250578" w:rsidRPr="00467954" w:rsidRDefault="00250578" w:rsidP="005F3C38">
      <w:pPr>
        <w:spacing w:line="276" w:lineRule="auto"/>
      </w:pPr>
      <w:r w:rsidRPr="00467954">
        <w:t xml:space="preserve">This group (covering </w:t>
      </w:r>
      <w:r w:rsidRPr="00467954">
        <w:rPr>
          <w:rStyle w:val="Strong"/>
          <w:rFonts w:cstheme="minorHAnsi"/>
          <w:b w:val="0"/>
          <w:bCs w:val="0"/>
          <w:color w:val="auto"/>
        </w:rPr>
        <w:t>HAZ004</w:t>
      </w:r>
      <w:r w:rsidRPr="00467954">
        <w:rPr>
          <w:b/>
          <w:bCs/>
        </w:rPr>
        <w:t xml:space="preserve">, </w:t>
      </w:r>
      <w:r w:rsidRPr="00467954">
        <w:rPr>
          <w:rStyle w:val="Strong"/>
          <w:rFonts w:cstheme="minorHAnsi"/>
          <w:b w:val="0"/>
          <w:bCs w:val="0"/>
          <w:color w:val="auto"/>
        </w:rPr>
        <w:t>HAZ005</w:t>
      </w:r>
      <w:r w:rsidRPr="00467954">
        <w:rPr>
          <w:b/>
          <w:bCs/>
        </w:rPr>
        <w:t xml:space="preserve">, </w:t>
      </w:r>
      <w:r w:rsidRPr="00467954">
        <w:rPr>
          <w:rStyle w:val="Strong"/>
          <w:rFonts w:cstheme="minorHAnsi"/>
          <w:b w:val="0"/>
          <w:bCs w:val="0"/>
          <w:color w:val="auto"/>
        </w:rPr>
        <w:t>HAZ006</w:t>
      </w:r>
      <w:r w:rsidRPr="00467954">
        <w:rPr>
          <w:b/>
          <w:bCs/>
        </w:rPr>
        <w:t xml:space="preserve">, </w:t>
      </w:r>
      <w:r w:rsidRPr="00467954">
        <w:t>and</w:t>
      </w:r>
      <w:r w:rsidRPr="00467954">
        <w:rPr>
          <w:b/>
          <w:bCs/>
        </w:rPr>
        <w:t xml:space="preserve"> </w:t>
      </w:r>
      <w:r w:rsidRPr="00467954">
        <w:rPr>
          <w:rStyle w:val="Strong"/>
          <w:rFonts w:cstheme="minorHAnsi"/>
          <w:b w:val="0"/>
          <w:bCs w:val="0"/>
          <w:color w:val="auto"/>
        </w:rPr>
        <w:t>HAZ007</w:t>
      </w:r>
      <w:r w:rsidRPr="00467954">
        <w:rPr>
          <w:b/>
          <w:bCs/>
        </w:rPr>
        <w:t>)</w:t>
      </w:r>
      <w:r w:rsidRPr="00467954">
        <w:t xml:space="preserve"> addresses risks relating to the delayed, incomplete, or failed retrieval of imaging data from federated systems.</w:t>
      </w:r>
      <w:r w:rsidRPr="00467954">
        <w:br/>
        <w:t>Scenarios include system timeouts, retrieval latency, duplicate studies, or temporary unavailability of repositories.</w:t>
      </w:r>
    </w:p>
    <w:p w14:paraId="6F6AFAB0" w14:textId="77777777" w:rsidR="00250578" w:rsidRPr="00467954" w:rsidRDefault="00250578" w:rsidP="005F3C38">
      <w:pPr>
        <w:spacing w:line="276" w:lineRule="auto"/>
      </w:pPr>
      <w:r w:rsidRPr="00467954">
        <w:t>Clinical consequences may include diagnostic delay or the need for repeat imaging.</w:t>
      </w:r>
    </w:p>
    <w:p w14:paraId="76202373" w14:textId="77777777" w:rsidR="00250578" w:rsidRPr="00467954" w:rsidRDefault="00250578" w:rsidP="005F3C38">
      <w:pPr>
        <w:spacing w:line="276" w:lineRule="auto"/>
      </w:pPr>
      <w:r w:rsidRPr="00467954">
        <w:rPr>
          <w:rStyle w:val="Strong"/>
          <w:rFonts w:cstheme="minorHAnsi"/>
          <w:b w:val="0"/>
          <w:bCs w:val="0"/>
          <w:color w:val="auto"/>
        </w:rPr>
        <w:t>Mitigations</w:t>
      </w:r>
      <w:r w:rsidRPr="00467954">
        <w:t xml:space="preserve"> include multi-site redundancy, automated retry logic, performance monitoring, and clearly defined error-handling and escalation processes through the NIR Operational Support Model.</w:t>
      </w:r>
      <w:r w:rsidRPr="00467954">
        <w:br/>
        <w:t>Continuous supplier monitoring and alerting dashboards track query latency and network status.</w:t>
      </w:r>
    </w:p>
    <w:p w14:paraId="49FCFA2C" w14:textId="77777777" w:rsidR="00250578" w:rsidRPr="00467954" w:rsidRDefault="00250578" w:rsidP="005F3C38">
      <w:pPr>
        <w:spacing w:line="276" w:lineRule="auto"/>
      </w:pPr>
      <w:r w:rsidRPr="00467954">
        <w:rPr>
          <w:rStyle w:val="Strong"/>
          <w:rFonts w:cstheme="minorHAnsi"/>
          <w:b w:val="0"/>
          <w:bCs w:val="0"/>
          <w:color w:val="auto"/>
        </w:rPr>
        <w:lastRenderedPageBreak/>
        <w:t>Residual risk ratings</w:t>
      </w:r>
      <w:r w:rsidRPr="00467954">
        <w:t xml:space="preserve"> for these hazards range from 1–3.</w:t>
      </w:r>
      <w:r w:rsidRPr="00467954">
        <w:br/>
      </w:r>
      <w:r w:rsidRPr="00467954">
        <w:rPr>
          <w:rStyle w:val="Strong"/>
          <w:rFonts w:cstheme="minorHAnsi"/>
          <w:b w:val="0"/>
          <w:bCs w:val="0"/>
          <w:color w:val="auto"/>
        </w:rPr>
        <w:t>HAZ005 – User interface complexity leading to workflow errors</w:t>
      </w:r>
      <w:r w:rsidRPr="00467954">
        <w:t xml:space="preserve"> and </w:t>
      </w:r>
      <w:r w:rsidRPr="00467954">
        <w:rPr>
          <w:rStyle w:val="Strong"/>
          <w:rFonts w:cstheme="minorHAnsi"/>
          <w:b w:val="0"/>
          <w:bCs w:val="0"/>
          <w:color w:val="auto"/>
        </w:rPr>
        <w:t>HAZ007 – Loss or corruption of imaging data</w:t>
      </w:r>
      <w:r w:rsidRPr="00467954">
        <w:t xml:space="preserve"> are both classified as </w:t>
      </w:r>
      <w:r w:rsidRPr="00467954">
        <w:rPr>
          <w:rStyle w:val="Emphasis"/>
          <w:rFonts w:asciiTheme="minorHAnsi" w:hAnsiTheme="minorHAnsi" w:cstheme="minorHAnsi"/>
          <w:color w:val="auto"/>
        </w:rPr>
        <w:t>hazards of note</w:t>
      </w:r>
      <w:r w:rsidRPr="00467954">
        <w:t xml:space="preserve"> due to their direct potential impact on clinical workflow or diagnostic information integrity.</w:t>
      </w:r>
    </w:p>
    <w:p w14:paraId="66B35E6B" w14:textId="77777777" w:rsidR="00250578" w:rsidRPr="0052511A" w:rsidRDefault="00250578" w:rsidP="002F7A0B">
      <w:pPr>
        <w:spacing w:after="160" w:line="278" w:lineRule="auto"/>
        <w:rPr>
          <w:b/>
          <w:bCs/>
          <w:color w:val="00B050"/>
        </w:rPr>
      </w:pPr>
    </w:p>
    <w:p w14:paraId="5A9E9176" w14:textId="480BAF07" w:rsidR="00250578" w:rsidRPr="00467954" w:rsidRDefault="00250578" w:rsidP="00B3622E">
      <w:pPr>
        <w:pStyle w:val="Heading3"/>
        <w:rPr>
          <w:sz w:val="27"/>
          <w:szCs w:val="27"/>
        </w:rPr>
      </w:pPr>
      <w:r w:rsidRPr="00467954">
        <w:rPr>
          <w:rStyle w:val="Strong"/>
          <w:rFonts w:cstheme="minorHAnsi"/>
          <w:color w:val="auto"/>
        </w:rPr>
        <w:t>System Configuration, Access, and User Error</w:t>
      </w:r>
    </w:p>
    <w:p w14:paraId="103F5242" w14:textId="77777777" w:rsidR="00250578" w:rsidRPr="00467954" w:rsidRDefault="00250578" w:rsidP="005F3C38">
      <w:pPr>
        <w:spacing w:line="276" w:lineRule="auto"/>
        <w:rPr>
          <w:color w:val="auto"/>
        </w:rPr>
      </w:pPr>
      <w:r w:rsidRPr="00467954">
        <w:rPr>
          <w:color w:val="auto"/>
        </w:rPr>
        <w:t xml:space="preserve">This domain (covering </w:t>
      </w:r>
      <w:r w:rsidRPr="00467954">
        <w:rPr>
          <w:rStyle w:val="Strong"/>
          <w:rFonts w:cstheme="minorHAnsi"/>
          <w:b w:val="0"/>
          <w:bCs w:val="0"/>
          <w:color w:val="auto"/>
        </w:rPr>
        <w:t>HAZ008</w:t>
      </w:r>
      <w:r w:rsidRPr="00467954">
        <w:rPr>
          <w:b/>
          <w:bCs/>
          <w:color w:val="auto"/>
        </w:rPr>
        <w:t>)</w:t>
      </w:r>
      <w:r w:rsidRPr="00467954">
        <w:rPr>
          <w:color w:val="auto"/>
        </w:rPr>
        <w:t xml:space="preserve"> concerns potential risks arising from incorrect configuration, user misunderstanding, or inappropriate system access.</w:t>
      </w:r>
      <w:r w:rsidRPr="00467954">
        <w:rPr>
          <w:color w:val="auto"/>
        </w:rPr>
        <w:br/>
        <w:t>Examples include routing errors, outdated certificates, or users misinterpreting the registry as a local image store.</w:t>
      </w:r>
    </w:p>
    <w:p w14:paraId="68436127" w14:textId="77777777" w:rsidR="00250578" w:rsidRPr="00467954" w:rsidRDefault="00250578" w:rsidP="005F3C38">
      <w:pPr>
        <w:spacing w:line="276" w:lineRule="auto"/>
        <w:rPr>
          <w:color w:val="auto"/>
        </w:rPr>
      </w:pPr>
      <w:r w:rsidRPr="00467954">
        <w:rPr>
          <w:rStyle w:val="Strong"/>
          <w:rFonts w:cstheme="minorHAnsi"/>
          <w:b w:val="0"/>
          <w:bCs w:val="0"/>
          <w:color w:val="auto"/>
        </w:rPr>
        <w:t>Mitigations</w:t>
      </w:r>
      <w:r w:rsidRPr="00467954">
        <w:rPr>
          <w:color w:val="auto"/>
        </w:rPr>
        <w:t xml:space="preserve"> include strict role-based access control, certificate validation, configuration verification, and comprehensive user training and onboarding documentation.</w:t>
      </w:r>
      <w:r w:rsidRPr="00467954">
        <w:rPr>
          <w:color w:val="auto"/>
        </w:rPr>
        <w:br/>
        <w:t>Residual risks are minimal but require reinforcement during deployment to maintain safe operation across sites.</w:t>
      </w:r>
    </w:p>
    <w:p w14:paraId="0D090D4B" w14:textId="77777777" w:rsidR="00250578" w:rsidRPr="0052511A" w:rsidRDefault="00250578" w:rsidP="00467954">
      <w:pPr>
        <w:rPr>
          <w:b/>
          <w:bCs/>
        </w:rPr>
      </w:pPr>
    </w:p>
    <w:p w14:paraId="6AD949FE" w14:textId="553ACFAA" w:rsidR="00250578" w:rsidRPr="00B63980" w:rsidRDefault="00250578" w:rsidP="00B3622E">
      <w:pPr>
        <w:pStyle w:val="Heading3"/>
        <w:rPr>
          <w:sz w:val="27"/>
          <w:szCs w:val="27"/>
        </w:rPr>
      </w:pPr>
      <w:r w:rsidRPr="00B63980">
        <w:rPr>
          <w:rStyle w:val="Strong"/>
          <w:rFonts w:cstheme="minorHAnsi"/>
          <w:color w:val="auto"/>
        </w:rPr>
        <w:t>Interoperability and Network Dependencies</w:t>
      </w:r>
    </w:p>
    <w:p w14:paraId="2CF89062" w14:textId="77777777" w:rsidR="00250578" w:rsidRPr="00B63980" w:rsidRDefault="00250578" w:rsidP="005F3C38">
      <w:pPr>
        <w:spacing w:line="276" w:lineRule="auto"/>
        <w:rPr>
          <w:color w:val="auto"/>
        </w:rPr>
      </w:pPr>
      <w:r w:rsidRPr="00B63980">
        <w:rPr>
          <w:color w:val="auto"/>
        </w:rPr>
        <w:t>Hazards in this category (</w:t>
      </w:r>
      <w:r w:rsidRPr="00B63980">
        <w:rPr>
          <w:rStyle w:val="Strong"/>
          <w:rFonts w:cstheme="minorHAnsi"/>
          <w:b w:val="0"/>
          <w:bCs w:val="0"/>
          <w:color w:val="auto"/>
        </w:rPr>
        <w:t>HAZ009</w:t>
      </w:r>
      <w:r w:rsidRPr="00B63980">
        <w:rPr>
          <w:b/>
          <w:bCs/>
          <w:color w:val="auto"/>
        </w:rPr>
        <w:t>)</w:t>
      </w:r>
      <w:r w:rsidRPr="00B63980">
        <w:rPr>
          <w:color w:val="auto"/>
        </w:rPr>
        <w:t xml:space="preserve"> relate to the interoperability of connected PACS, RIS, and VNA systems, and the reliance on consistent adherence to imaging standards and network stability across NHS organisations.</w:t>
      </w:r>
      <w:r w:rsidRPr="00B63980">
        <w:rPr>
          <w:color w:val="auto"/>
        </w:rPr>
        <w:br/>
        <w:t>Risks include message translation errors, non-standard DICOM implementations, or network latency across federated domains.</w:t>
      </w:r>
    </w:p>
    <w:p w14:paraId="56C7C3DC" w14:textId="77777777" w:rsidR="00250578" w:rsidRPr="00B63980" w:rsidRDefault="00250578" w:rsidP="005F3C38">
      <w:pPr>
        <w:spacing w:line="276" w:lineRule="auto"/>
        <w:rPr>
          <w:color w:val="auto"/>
        </w:rPr>
      </w:pPr>
      <w:r w:rsidRPr="00B63980">
        <w:rPr>
          <w:rStyle w:val="Strong"/>
          <w:rFonts w:cstheme="minorHAnsi"/>
          <w:b w:val="0"/>
          <w:bCs w:val="0"/>
          <w:color w:val="auto"/>
        </w:rPr>
        <w:t>Mitigations</w:t>
      </w:r>
      <w:r w:rsidRPr="00B63980">
        <w:rPr>
          <w:color w:val="auto"/>
        </w:rPr>
        <w:t xml:space="preserve"> include supplier conformance testing, interoperability certification, and end-to-end integration validation within the NHS testing environment.</w:t>
      </w:r>
      <w:r w:rsidRPr="00B63980">
        <w:rPr>
          <w:color w:val="auto"/>
        </w:rPr>
        <w:br/>
        <w:t>Residual risks remain low but ongoing performance monitoring and supplier engagement are required.</w:t>
      </w:r>
    </w:p>
    <w:p w14:paraId="55BF9E24" w14:textId="77777777" w:rsidR="00250578" w:rsidRPr="0052511A" w:rsidRDefault="00250578" w:rsidP="002F7A0B">
      <w:pPr>
        <w:spacing w:after="160" w:line="278" w:lineRule="auto"/>
        <w:rPr>
          <w:b/>
          <w:bCs/>
          <w:color w:val="00B050"/>
        </w:rPr>
      </w:pPr>
    </w:p>
    <w:p w14:paraId="3138A1FE" w14:textId="69CB92DE" w:rsidR="00250578" w:rsidRPr="00B63980" w:rsidRDefault="00250578" w:rsidP="00B3622E">
      <w:pPr>
        <w:pStyle w:val="Heading3"/>
        <w:rPr>
          <w:rStyle w:val="Strong"/>
          <w:rFonts w:cstheme="minorHAnsi"/>
          <w:color w:val="auto"/>
        </w:rPr>
      </w:pPr>
      <w:r w:rsidRPr="00B63980">
        <w:rPr>
          <w:rStyle w:val="Strong"/>
          <w:rFonts w:cstheme="minorHAnsi"/>
          <w:color w:val="auto"/>
        </w:rPr>
        <w:t>Operational Governance and Escalation Pathways</w:t>
      </w:r>
    </w:p>
    <w:p w14:paraId="64AB5DAB" w14:textId="77777777" w:rsidR="00250578" w:rsidRPr="00B63980" w:rsidRDefault="00250578" w:rsidP="0091042D">
      <w:pPr>
        <w:spacing w:line="276" w:lineRule="auto"/>
      </w:pPr>
      <w:r w:rsidRPr="00B63980">
        <w:t xml:space="preserve">This domain </w:t>
      </w:r>
      <w:r w:rsidRPr="00B63980">
        <w:rPr>
          <w:b/>
          <w:bCs/>
        </w:rPr>
        <w:t>(</w:t>
      </w:r>
      <w:r w:rsidRPr="00B63980">
        <w:rPr>
          <w:rStyle w:val="Strong"/>
          <w:rFonts w:cstheme="minorHAnsi"/>
          <w:b w:val="0"/>
          <w:bCs w:val="0"/>
          <w:color w:val="auto"/>
          <w:sz w:val="22"/>
          <w:szCs w:val="22"/>
        </w:rPr>
        <w:t>HAZ010</w:t>
      </w:r>
      <w:r w:rsidRPr="00B63980">
        <w:rPr>
          <w:b/>
          <w:bCs/>
        </w:rPr>
        <w:t>)</w:t>
      </w:r>
      <w:r w:rsidRPr="00B63980">
        <w:t xml:space="preserve"> captures risks related to communication, accountability, and escalation within multi-organisation operations, where delays in issue escalation or duplicate reporting could impact response times.</w:t>
      </w:r>
    </w:p>
    <w:p w14:paraId="1D356581" w14:textId="77777777" w:rsidR="00250578" w:rsidRDefault="00250578" w:rsidP="0091042D">
      <w:pPr>
        <w:spacing w:line="276" w:lineRule="auto"/>
      </w:pPr>
      <w:r w:rsidRPr="00B63980">
        <w:rPr>
          <w:rStyle w:val="Strong"/>
          <w:rFonts w:cstheme="minorHAnsi"/>
          <w:b w:val="0"/>
          <w:bCs w:val="0"/>
          <w:color w:val="auto"/>
          <w:sz w:val="22"/>
          <w:szCs w:val="22"/>
        </w:rPr>
        <w:t>Mitigations</w:t>
      </w:r>
      <w:r w:rsidRPr="00B63980">
        <w:t xml:space="preserve"> include national standard operating procedures, a single NHS England service desk, and a defined escalation hierarchy linking local and national support teams.</w:t>
      </w:r>
      <w:r w:rsidRPr="00B63980">
        <w:br/>
        <w:t>Residual risk is low (1–2) following implementation of the NIR Operational Support Model and Service Desk escalation process.</w:t>
      </w:r>
    </w:p>
    <w:p w14:paraId="46F2EB37" w14:textId="77777777" w:rsidR="006A0204" w:rsidRDefault="006A0204" w:rsidP="00B63980"/>
    <w:p w14:paraId="59F60A0B" w14:textId="77777777" w:rsidR="006A0204" w:rsidRPr="005F3C38" w:rsidRDefault="006A0204" w:rsidP="00B3622E">
      <w:pPr>
        <w:pStyle w:val="Heading3"/>
        <w:rPr>
          <w:color w:val="auto"/>
          <w:sz w:val="27"/>
          <w:szCs w:val="27"/>
        </w:rPr>
      </w:pPr>
      <w:r w:rsidRPr="005F3C38">
        <w:rPr>
          <w:rStyle w:val="Strong"/>
          <w:rFonts w:cstheme="minorHAnsi"/>
        </w:rPr>
        <w:t>HAZ011 – Data Retrieval &amp; Availability Failures due to HCID Query Restriction</w:t>
      </w:r>
    </w:p>
    <w:p w14:paraId="4EEC34F1" w14:textId="5EA20392" w:rsidR="006A0204" w:rsidRPr="0091042D" w:rsidRDefault="006A0204" w:rsidP="0091042D">
      <w:pPr>
        <w:pStyle w:val="NormalWeb"/>
        <w:spacing w:after="0" w:line="276" w:lineRule="auto"/>
        <w:rPr>
          <w:rFonts w:asciiTheme="minorHAnsi" w:hAnsiTheme="minorHAnsi" w:cstheme="minorHAnsi"/>
        </w:rPr>
      </w:pPr>
      <w:r w:rsidRPr="006A0204">
        <w:rPr>
          <w:rFonts w:asciiTheme="minorHAnsi" w:hAnsiTheme="minorHAnsi" w:cstheme="minorHAnsi"/>
        </w:rPr>
        <w:t>An additional hazard (HAZ011) was identified during extended design and deployment review in February 2026, reflecting the increasing complexity associated with scaled onboarding and the use of HCID-based query restriction within the NIR Gateway.</w:t>
      </w:r>
      <w:r w:rsidR="0091042D">
        <w:rPr>
          <w:rFonts w:asciiTheme="minorHAnsi" w:hAnsiTheme="minorHAnsi" w:cstheme="minorHAnsi"/>
        </w:rPr>
        <w:t xml:space="preserve"> </w:t>
      </w:r>
      <w:r w:rsidR="0091042D" w:rsidRPr="0091042D">
        <w:rPr>
          <w:rFonts w:asciiTheme="minorHAnsi" w:hAnsiTheme="minorHAnsi" w:cstheme="minorHAnsi"/>
        </w:rPr>
        <w:t>HAZ011 was introduced following post-workshop design review and governance discussion relating to HCID exclusion behaviour</w:t>
      </w:r>
      <w:r w:rsidR="0091042D">
        <w:rPr>
          <w:rFonts w:asciiTheme="minorHAnsi" w:hAnsiTheme="minorHAnsi" w:cstheme="minorHAnsi"/>
        </w:rPr>
        <w:t>.</w:t>
      </w:r>
    </w:p>
    <w:p w14:paraId="56B7DF6F" w14:textId="77777777" w:rsidR="006A0204" w:rsidRPr="006A0204" w:rsidRDefault="006A0204" w:rsidP="0091042D">
      <w:pPr>
        <w:pStyle w:val="NormalWeb"/>
        <w:spacing w:after="0" w:line="276" w:lineRule="auto"/>
        <w:rPr>
          <w:rFonts w:asciiTheme="minorHAnsi" w:hAnsiTheme="minorHAnsi" w:cstheme="minorHAnsi"/>
        </w:rPr>
      </w:pPr>
      <w:r w:rsidRPr="006A0204">
        <w:rPr>
          <w:rFonts w:asciiTheme="minorHAnsi" w:hAnsiTheme="minorHAnsi" w:cstheme="minorHAnsi"/>
        </w:rPr>
        <w:lastRenderedPageBreak/>
        <w:t xml:space="preserve">This hazard relates to the </w:t>
      </w:r>
      <w:r w:rsidRPr="006A0204">
        <w:rPr>
          <w:rStyle w:val="Strong"/>
          <w:rFonts w:cstheme="minorHAnsi"/>
          <w:b w:val="0"/>
          <w:bCs w:val="0"/>
        </w:rPr>
        <w:t>potential omission of imaging data</w:t>
      </w:r>
      <w:r w:rsidRPr="006A0204">
        <w:rPr>
          <w:rFonts w:asciiTheme="minorHAnsi" w:hAnsiTheme="minorHAnsi" w:cstheme="minorHAnsi"/>
        </w:rPr>
        <w:t xml:space="preserve"> where NIR query broadcasts intentionally exclude specific Home Community IDs (HCIDs). While this design supports optimisation of query routing and avoids duplication or unnecessary network traffic, it introduces a </w:t>
      </w:r>
      <w:r w:rsidRPr="006A0204">
        <w:rPr>
          <w:rStyle w:val="Strong"/>
          <w:rFonts w:cstheme="minorHAnsi"/>
          <w:b w:val="0"/>
          <w:bCs w:val="0"/>
        </w:rPr>
        <w:t>configuration-dependent risk</w:t>
      </w:r>
      <w:r w:rsidRPr="006A0204">
        <w:rPr>
          <w:rFonts w:asciiTheme="minorHAnsi" w:hAnsiTheme="minorHAnsi" w:cstheme="minorHAnsi"/>
        </w:rPr>
        <w:t xml:space="preserve"> that relevant imaging studies may not be returned if HCID exclusion rules are:</w:t>
      </w:r>
    </w:p>
    <w:p w14:paraId="67039604" w14:textId="77777777" w:rsidR="006A0204" w:rsidRPr="006A0204" w:rsidRDefault="006A0204" w:rsidP="005F3C38">
      <w:pPr>
        <w:numPr>
          <w:ilvl w:val="0"/>
          <w:numId w:val="95"/>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Incorrectly configured </w:t>
      </w:r>
    </w:p>
    <w:p w14:paraId="0F9EF87D" w14:textId="77777777" w:rsidR="006A0204" w:rsidRPr="006A0204" w:rsidRDefault="006A0204" w:rsidP="005F3C38">
      <w:pPr>
        <w:numPr>
          <w:ilvl w:val="0"/>
          <w:numId w:val="95"/>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Not aligned with current integration arrangements </w:t>
      </w:r>
    </w:p>
    <w:p w14:paraId="60AF8F80" w14:textId="77777777" w:rsidR="006A0204" w:rsidRPr="006A0204" w:rsidRDefault="006A0204" w:rsidP="005F3C38">
      <w:pPr>
        <w:numPr>
          <w:ilvl w:val="0"/>
          <w:numId w:val="95"/>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Not updated in line with changes to imaging network connectivity </w:t>
      </w:r>
    </w:p>
    <w:p w14:paraId="4A211544" w14:textId="77777777"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 xml:space="preserve">The clinical risk arises where a user may reasonably assume that NIR results represent a </w:t>
      </w:r>
      <w:r w:rsidRPr="006A0204">
        <w:rPr>
          <w:rStyle w:val="Strong"/>
          <w:rFonts w:cstheme="minorHAnsi"/>
          <w:b w:val="0"/>
          <w:bCs w:val="0"/>
        </w:rPr>
        <w:t>complete national imaging view</w:t>
      </w:r>
      <w:r w:rsidRPr="006A0204">
        <w:rPr>
          <w:rFonts w:asciiTheme="minorHAnsi" w:hAnsiTheme="minorHAnsi" w:cstheme="minorHAnsi"/>
        </w:rPr>
        <w:t>, when in fact certain sources have been intentionally excluded from the query scope.</w:t>
      </w:r>
    </w:p>
    <w:p w14:paraId="72399D87" w14:textId="77777777"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Mitigation of this hazard is achieved primarily through:</w:t>
      </w:r>
    </w:p>
    <w:p w14:paraId="275D3D5B" w14:textId="77777777" w:rsidR="006A0204" w:rsidRPr="006A0204" w:rsidRDefault="006A0204" w:rsidP="005F3C38">
      <w:pPr>
        <w:numPr>
          <w:ilvl w:val="0"/>
          <w:numId w:val="96"/>
        </w:numPr>
        <w:spacing w:after="0" w:line="276" w:lineRule="auto"/>
        <w:textboxTightWrap w:val="none"/>
        <w:rPr>
          <w:rFonts w:asciiTheme="minorHAnsi" w:hAnsiTheme="minorHAnsi" w:cstheme="minorHAnsi"/>
          <w:b/>
          <w:bCs/>
        </w:rPr>
      </w:pPr>
      <w:r w:rsidRPr="006A0204">
        <w:rPr>
          <w:rStyle w:val="Strong"/>
          <w:rFonts w:cstheme="minorHAnsi"/>
          <w:b w:val="0"/>
          <w:bCs w:val="0"/>
        </w:rPr>
        <w:t>Central governance and change control</w:t>
      </w:r>
      <w:r w:rsidRPr="006A0204">
        <w:rPr>
          <w:rFonts w:asciiTheme="minorHAnsi" w:hAnsiTheme="minorHAnsi" w:cstheme="minorHAnsi"/>
          <w:b/>
          <w:bCs/>
        </w:rPr>
        <w:t xml:space="preserve"> </w:t>
      </w:r>
      <w:r w:rsidRPr="006A0204">
        <w:rPr>
          <w:rFonts w:asciiTheme="minorHAnsi" w:hAnsiTheme="minorHAnsi" w:cstheme="minorHAnsi"/>
        </w:rPr>
        <w:t>of HCID exclusion lists</w:t>
      </w:r>
      <w:r w:rsidRPr="006A0204">
        <w:rPr>
          <w:rFonts w:asciiTheme="minorHAnsi" w:hAnsiTheme="minorHAnsi" w:cstheme="minorHAnsi"/>
          <w:b/>
          <w:bCs/>
        </w:rPr>
        <w:t xml:space="preserve"> </w:t>
      </w:r>
    </w:p>
    <w:p w14:paraId="3F078288" w14:textId="77777777" w:rsidR="006A0204" w:rsidRPr="006A0204" w:rsidRDefault="006A0204" w:rsidP="005F3C38">
      <w:pPr>
        <w:numPr>
          <w:ilvl w:val="0"/>
          <w:numId w:val="96"/>
        </w:numPr>
        <w:spacing w:after="0" w:line="276" w:lineRule="auto"/>
        <w:textboxTightWrap w:val="none"/>
        <w:rPr>
          <w:rFonts w:asciiTheme="minorHAnsi" w:hAnsiTheme="minorHAnsi" w:cstheme="minorHAnsi"/>
          <w:b/>
          <w:bCs/>
        </w:rPr>
      </w:pPr>
      <w:r w:rsidRPr="006A0204">
        <w:rPr>
          <w:rStyle w:val="Strong"/>
          <w:rFonts w:cstheme="minorHAnsi"/>
          <w:b w:val="0"/>
          <w:bCs w:val="0"/>
        </w:rPr>
        <w:t>Alignment with the authoritative national HCID register</w:t>
      </w:r>
      <w:r w:rsidRPr="006A0204">
        <w:rPr>
          <w:rFonts w:asciiTheme="minorHAnsi" w:hAnsiTheme="minorHAnsi" w:cstheme="minorHAnsi"/>
          <w:b/>
          <w:bCs/>
        </w:rPr>
        <w:t xml:space="preserve"> </w:t>
      </w:r>
    </w:p>
    <w:p w14:paraId="1E277745" w14:textId="068B82BC" w:rsidR="006A0204" w:rsidRPr="006A0204" w:rsidRDefault="006A0204" w:rsidP="005F3C38">
      <w:pPr>
        <w:numPr>
          <w:ilvl w:val="0"/>
          <w:numId w:val="96"/>
        </w:numPr>
        <w:spacing w:after="0" w:line="276" w:lineRule="auto"/>
        <w:textboxTightWrap w:val="none"/>
        <w:rPr>
          <w:rFonts w:asciiTheme="minorHAnsi" w:hAnsiTheme="minorHAnsi" w:cstheme="minorHAnsi"/>
          <w:b/>
          <w:bCs/>
        </w:rPr>
      </w:pPr>
      <w:r w:rsidRPr="006A0204">
        <w:rPr>
          <w:rStyle w:val="Strong"/>
          <w:rFonts w:cstheme="minorHAnsi"/>
          <w:b w:val="0"/>
          <w:bCs w:val="0"/>
        </w:rPr>
        <w:t xml:space="preserve">Validation with </w:t>
      </w:r>
      <w:r w:rsidR="000B4F22">
        <w:t>Providers / Organisations</w:t>
      </w:r>
      <w:r w:rsidR="000B4F22">
        <w:t xml:space="preserve"> </w:t>
      </w:r>
      <w:r w:rsidRPr="006A0204">
        <w:rPr>
          <w:rStyle w:val="Strong"/>
          <w:rFonts w:cstheme="minorHAnsi"/>
          <w:b w:val="0"/>
          <w:bCs w:val="0"/>
        </w:rPr>
        <w:t>prior to exclusion implementation</w:t>
      </w:r>
      <w:r w:rsidRPr="006A0204">
        <w:rPr>
          <w:rFonts w:asciiTheme="minorHAnsi" w:hAnsiTheme="minorHAnsi" w:cstheme="minorHAnsi"/>
          <w:b/>
          <w:bCs/>
        </w:rPr>
        <w:t xml:space="preserve"> </w:t>
      </w:r>
    </w:p>
    <w:p w14:paraId="6B176011" w14:textId="77777777" w:rsidR="006A0204" w:rsidRPr="006A0204" w:rsidRDefault="006A0204" w:rsidP="005F3C38">
      <w:pPr>
        <w:numPr>
          <w:ilvl w:val="0"/>
          <w:numId w:val="96"/>
        </w:numPr>
        <w:spacing w:after="0" w:line="276" w:lineRule="auto"/>
        <w:textboxTightWrap w:val="none"/>
        <w:rPr>
          <w:rFonts w:asciiTheme="minorHAnsi" w:hAnsiTheme="minorHAnsi" w:cstheme="minorHAnsi"/>
          <w:b/>
          <w:bCs/>
        </w:rPr>
      </w:pPr>
      <w:r w:rsidRPr="006A0204">
        <w:rPr>
          <w:rStyle w:val="Strong"/>
          <w:rFonts w:cstheme="minorHAnsi"/>
          <w:b w:val="0"/>
          <w:bCs w:val="0"/>
        </w:rPr>
        <w:t>Audit logging and observability of query behaviour and omissions</w:t>
      </w:r>
      <w:r w:rsidRPr="006A0204">
        <w:rPr>
          <w:rFonts w:asciiTheme="minorHAnsi" w:hAnsiTheme="minorHAnsi" w:cstheme="minorHAnsi"/>
          <w:b/>
          <w:bCs/>
        </w:rPr>
        <w:t xml:space="preserve"> </w:t>
      </w:r>
    </w:p>
    <w:p w14:paraId="7ACD4962" w14:textId="77777777" w:rsidR="006A0204" w:rsidRPr="006A0204" w:rsidRDefault="006A0204" w:rsidP="005F3C38">
      <w:pPr>
        <w:numPr>
          <w:ilvl w:val="0"/>
          <w:numId w:val="96"/>
        </w:numPr>
        <w:spacing w:after="0" w:line="276" w:lineRule="auto"/>
        <w:textboxTightWrap w:val="none"/>
        <w:rPr>
          <w:rFonts w:asciiTheme="minorHAnsi" w:hAnsiTheme="minorHAnsi" w:cstheme="minorHAnsi"/>
        </w:rPr>
      </w:pPr>
      <w:r w:rsidRPr="006A0204">
        <w:rPr>
          <w:rStyle w:val="Strong"/>
          <w:rFonts w:cstheme="minorHAnsi"/>
          <w:b w:val="0"/>
          <w:bCs w:val="0"/>
        </w:rPr>
        <w:t>Explicit system behaviour via warning codes (e.g. XDSUnavailableCommunity)</w:t>
      </w:r>
      <w:r w:rsidRPr="006A0204">
        <w:rPr>
          <w:rFonts w:asciiTheme="minorHAnsi" w:hAnsiTheme="minorHAnsi" w:cstheme="minorHAnsi"/>
        </w:rPr>
        <w:t xml:space="preserve"> to indicate potential incompleteness </w:t>
      </w:r>
    </w:p>
    <w:p w14:paraId="3085334E" w14:textId="77777777"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 xml:space="preserve">In addition, this hazard reinforces the importance of </w:t>
      </w:r>
      <w:r w:rsidRPr="006A0204">
        <w:rPr>
          <w:rStyle w:val="Strong"/>
          <w:rFonts w:cstheme="minorHAnsi"/>
          <w:b w:val="0"/>
          <w:bCs w:val="0"/>
        </w:rPr>
        <w:t>clear definition of NIR as a supplementary retrieval service</w:t>
      </w:r>
      <w:r w:rsidRPr="006A0204">
        <w:rPr>
          <w:rFonts w:asciiTheme="minorHAnsi" w:hAnsiTheme="minorHAnsi" w:cstheme="minorHAnsi"/>
          <w:b/>
          <w:bCs/>
        </w:rPr>
        <w:t xml:space="preserve">, </w:t>
      </w:r>
      <w:r w:rsidRPr="006A0204">
        <w:rPr>
          <w:rFonts w:asciiTheme="minorHAnsi" w:hAnsiTheme="minorHAnsi" w:cstheme="minorHAnsi"/>
        </w:rPr>
        <w:t>with clinicians retaining access to local PACS and established fallback routes.</w:t>
      </w:r>
    </w:p>
    <w:p w14:paraId="010E172C" w14:textId="2FDF9082"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 xml:space="preserve">From a deployment perspective, safe management of this risk is </w:t>
      </w:r>
      <w:r w:rsidRPr="006A0204">
        <w:rPr>
          <w:rStyle w:val="Strong"/>
          <w:rFonts w:cstheme="minorHAnsi"/>
          <w:b w:val="0"/>
          <w:bCs w:val="0"/>
        </w:rPr>
        <w:t>dependent on DCB0160 controls</w:t>
      </w:r>
      <w:r w:rsidRPr="006A0204">
        <w:rPr>
          <w:rFonts w:asciiTheme="minorHAnsi" w:hAnsiTheme="minorHAnsi" w:cstheme="minorHAnsi"/>
          <w:b/>
          <w:bCs/>
        </w:rPr>
        <w:t xml:space="preserve">, </w:t>
      </w:r>
      <w:r w:rsidRPr="006A0204">
        <w:rPr>
          <w:rFonts w:asciiTheme="minorHAnsi" w:hAnsiTheme="minorHAnsi" w:cstheme="minorHAnsi"/>
        </w:rPr>
        <w:t>including:</w:t>
      </w:r>
    </w:p>
    <w:p w14:paraId="149BB2AD" w14:textId="77777777" w:rsidR="006A0204" w:rsidRPr="006A0204" w:rsidRDefault="006A0204" w:rsidP="005F3C38">
      <w:pPr>
        <w:numPr>
          <w:ilvl w:val="0"/>
          <w:numId w:val="97"/>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Validation of HCID mappings during onboarding </w:t>
      </w:r>
    </w:p>
    <w:p w14:paraId="34225976" w14:textId="77777777" w:rsidR="006A0204" w:rsidRPr="006A0204" w:rsidRDefault="006A0204" w:rsidP="005F3C38">
      <w:pPr>
        <w:numPr>
          <w:ilvl w:val="0"/>
          <w:numId w:val="97"/>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Local awareness of NIR scope and limitations </w:t>
      </w:r>
    </w:p>
    <w:p w14:paraId="24CED534" w14:textId="77777777" w:rsidR="006A0204" w:rsidRPr="006A0204" w:rsidRDefault="006A0204" w:rsidP="005F3C38">
      <w:pPr>
        <w:numPr>
          <w:ilvl w:val="0"/>
          <w:numId w:val="97"/>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Monitoring of query completeness and escalation of discrepancies </w:t>
      </w:r>
    </w:p>
    <w:p w14:paraId="2DD5F91B" w14:textId="77777777" w:rsidR="006A0204" w:rsidRPr="006A0204" w:rsidRDefault="006A0204" w:rsidP="005F3C38">
      <w:pPr>
        <w:numPr>
          <w:ilvl w:val="0"/>
          <w:numId w:val="97"/>
        </w:numPr>
        <w:spacing w:after="0" w:line="276" w:lineRule="auto"/>
        <w:textboxTightWrap w:val="none"/>
        <w:rPr>
          <w:rFonts w:asciiTheme="minorHAnsi" w:hAnsiTheme="minorHAnsi" w:cstheme="minorHAnsi"/>
        </w:rPr>
      </w:pPr>
      <w:r w:rsidRPr="006A0204">
        <w:rPr>
          <w:rFonts w:asciiTheme="minorHAnsi" w:hAnsiTheme="minorHAnsi" w:cstheme="minorHAnsi"/>
        </w:rPr>
        <w:t xml:space="preserve">Defined processes for notifying the NIR programme of integration changes </w:t>
      </w:r>
    </w:p>
    <w:p w14:paraId="04C24E67" w14:textId="77777777"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Following implementation of these controls, the residual risk has been assessed as</w:t>
      </w:r>
      <w:r w:rsidRPr="006A0204">
        <w:rPr>
          <w:rFonts w:asciiTheme="minorHAnsi" w:hAnsiTheme="minorHAnsi" w:cstheme="minorHAnsi"/>
          <w:b/>
          <w:bCs/>
        </w:rPr>
        <w:t xml:space="preserve"> </w:t>
      </w:r>
      <w:r w:rsidRPr="006A0204">
        <w:rPr>
          <w:rStyle w:val="Strong"/>
          <w:rFonts w:cstheme="minorHAnsi"/>
          <w:b w:val="0"/>
          <w:bCs w:val="0"/>
        </w:rPr>
        <w:t>Low and ALARP</w:t>
      </w:r>
      <w:r w:rsidRPr="006A0204">
        <w:rPr>
          <w:rFonts w:asciiTheme="minorHAnsi" w:hAnsiTheme="minorHAnsi" w:cstheme="minorHAnsi"/>
        </w:rPr>
        <w:t>, with the likelihood reduced to Very Low due to the structured governance and validation processes in place.</w:t>
      </w:r>
    </w:p>
    <w:p w14:paraId="2D46691F" w14:textId="77777777" w:rsidR="006A0204" w:rsidRPr="006A0204" w:rsidRDefault="006A0204" w:rsidP="005F3C38">
      <w:pPr>
        <w:pStyle w:val="NormalWeb"/>
        <w:spacing w:after="0" w:line="276" w:lineRule="auto"/>
        <w:rPr>
          <w:rFonts w:asciiTheme="minorHAnsi" w:hAnsiTheme="minorHAnsi" w:cstheme="minorHAnsi"/>
        </w:rPr>
      </w:pPr>
      <w:r w:rsidRPr="006A0204">
        <w:rPr>
          <w:rFonts w:asciiTheme="minorHAnsi" w:hAnsiTheme="minorHAnsi" w:cstheme="minorHAnsi"/>
        </w:rPr>
        <w:t xml:space="preserve">The inclusion of HAZ011 demonstrates the </w:t>
      </w:r>
      <w:r w:rsidRPr="006A0204">
        <w:rPr>
          <w:rStyle w:val="Strong"/>
          <w:rFonts w:cstheme="minorHAnsi"/>
          <w:b w:val="0"/>
          <w:bCs w:val="0"/>
        </w:rPr>
        <w:t>iterative nature of the clinical risk management process</w:t>
      </w:r>
      <w:r w:rsidRPr="006A0204">
        <w:rPr>
          <w:rFonts w:asciiTheme="minorHAnsi" w:hAnsiTheme="minorHAnsi" w:cstheme="minorHAnsi"/>
          <w:b/>
          <w:bCs/>
        </w:rPr>
        <w:t>,</w:t>
      </w:r>
      <w:r w:rsidRPr="006A0204">
        <w:rPr>
          <w:rFonts w:asciiTheme="minorHAnsi" w:hAnsiTheme="minorHAnsi" w:cstheme="minorHAnsi"/>
        </w:rPr>
        <w:t xml:space="preserve"> ensuring that emerging risks associated with scale, configuration, and real-world deployment are identified and appropriately controlled.</w:t>
      </w:r>
    </w:p>
    <w:p w14:paraId="623B336D" w14:textId="77777777" w:rsidR="005F3C38" w:rsidRDefault="005F3C38" w:rsidP="00B63980"/>
    <w:p w14:paraId="3B33ED67" w14:textId="058C2C99" w:rsidR="00631603" w:rsidRDefault="00250578" w:rsidP="005F3C38">
      <w:pPr>
        <w:spacing w:line="276" w:lineRule="auto"/>
      </w:pPr>
      <w:r w:rsidRPr="00B63980">
        <w:t>All 1</w:t>
      </w:r>
      <w:r w:rsidR="00C464BA">
        <w:t>1</w:t>
      </w:r>
      <w:r w:rsidRPr="00B63980">
        <w:t xml:space="preserve"> identified hazards have residual risk ratings of </w:t>
      </w:r>
      <w:r w:rsidR="00C464BA">
        <w:t>2</w:t>
      </w:r>
      <w:r w:rsidRPr="00B63980">
        <w:t xml:space="preserve"> or lower and are considered mitigated or accepted with mitigation.</w:t>
      </w:r>
      <w:r w:rsidRPr="00B63980">
        <w:br/>
        <w:t xml:space="preserve">Three hazards (HAZ001, HAZ005, and HAZ007) are designated as </w:t>
      </w:r>
      <w:r w:rsidRPr="00B63980">
        <w:rPr>
          <w:i/>
          <w:iCs/>
        </w:rPr>
        <w:t>hazards of note</w:t>
      </w:r>
      <w:r w:rsidRPr="00B63980">
        <w:t xml:space="preserve"> and remain under continuous monitoring within the NIR Clinical Safety Governance </w:t>
      </w:r>
      <w:r w:rsidR="00C464BA" w:rsidRPr="00B63980">
        <w:t>Framework. The</w:t>
      </w:r>
      <w:r w:rsidR="00631603" w:rsidRPr="00B63980">
        <w:t xml:space="preserve"> three hazards with a residual risk rating of 3 are fully mitigated and accepted under defined operational governance </w:t>
      </w:r>
      <w:r w:rsidR="00631603" w:rsidRPr="005F3C38">
        <w:t>controls (</w:t>
      </w:r>
      <w:r w:rsidR="005F3C38" w:rsidRPr="005F3C38">
        <w:t>Ref</w:t>
      </w:r>
      <w:r w:rsidR="005F3C38">
        <w:t xml:space="preserve"> 3 – </w:t>
      </w:r>
      <w:r w:rsidR="00376403">
        <w:t xml:space="preserve">NIR </w:t>
      </w:r>
      <w:r w:rsidR="005F3C38">
        <w:t>Hazard Log).</w:t>
      </w:r>
    </w:p>
    <w:p w14:paraId="54D64578" w14:textId="77777777" w:rsidR="00631603" w:rsidRDefault="00631603" w:rsidP="002F7A0B">
      <w:pPr>
        <w:spacing w:after="160" w:line="278" w:lineRule="auto"/>
      </w:pPr>
    </w:p>
    <w:p w14:paraId="4CEBE2B5" w14:textId="72FE1C13" w:rsidR="00022795" w:rsidRPr="00022795" w:rsidRDefault="00022795" w:rsidP="002F7A0B">
      <w:pPr>
        <w:spacing w:after="160" w:line="278" w:lineRule="auto"/>
        <w:rPr>
          <w:b/>
          <w:bCs/>
          <w:color w:val="003087" w:themeColor="accent3"/>
        </w:rPr>
      </w:pPr>
      <w:r w:rsidRPr="00022795">
        <w:rPr>
          <w:b/>
          <w:bCs/>
          <w:color w:val="003087" w:themeColor="accent3"/>
        </w:rPr>
        <w:t>Report Addenda and Data Currency Consideration</w:t>
      </w:r>
    </w:p>
    <w:p w14:paraId="56279024" w14:textId="63E39EB6" w:rsidR="00022795" w:rsidRPr="00022795" w:rsidRDefault="00022795" w:rsidP="00022795">
      <w:pPr>
        <w:spacing w:after="160" w:line="276" w:lineRule="auto"/>
      </w:pPr>
      <w:r w:rsidRPr="00022795">
        <w:t xml:space="preserve">The NIR operates on an on-demand query model and does not persist or synchronise imaging reports. Where a radiology report is subsequently updated through an addendum in </w:t>
      </w:r>
      <w:r w:rsidRPr="00022795">
        <w:lastRenderedPageBreak/>
        <w:t>the source system, this update will only be visible within NIR upon a subsequent query.</w:t>
      </w:r>
      <w:r w:rsidRPr="00022795">
        <w:br/>
        <w:t>This introduces a data currency consideration, whereby a previously retrieved report may not reflect the most current clinical interpretation if re-querying is not performed.</w:t>
      </w:r>
      <w:r w:rsidRPr="00022795">
        <w:br/>
        <w:t>This risk is mitigated by the design principle that NIR is a supplementary discovery and retrieval service, not a longitudinal clinical record, and by reliance on source PACS/RIS systems as the system of record.</w:t>
      </w:r>
      <w:r w:rsidRPr="00022795">
        <w:br/>
        <w:t>Clinical users are expected to re-query imaging records where clinically indicated, particularly in cases of ongoing or evolving care.</w:t>
      </w:r>
    </w:p>
    <w:p w14:paraId="70C09AE7" w14:textId="77777777" w:rsidR="00022795" w:rsidRDefault="00022795" w:rsidP="002F7A0B">
      <w:pPr>
        <w:spacing w:after="160" w:line="278" w:lineRule="auto"/>
      </w:pPr>
    </w:p>
    <w:p w14:paraId="2927A4C1" w14:textId="77777777" w:rsidR="00022795" w:rsidRPr="0053354B" w:rsidRDefault="00022795" w:rsidP="002F7A0B">
      <w:pPr>
        <w:spacing w:after="160" w:line="278" w:lineRule="auto"/>
      </w:pPr>
    </w:p>
    <w:p w14:paraId="661C33CC" w14:textId="77777777" w:rsidR="002F7A0B" w:rsidRPr="0053354B" w:rsidRDefault="002F7A0B" w:rsidP="00B3622E">
      <w:pPr>
        <w:pStyle w:val="Heading3"/>
      </w:pPr>
      <w:r w:rsidRPr="0053354B">
        <w:t>Overall Findings</w:t>
      </w:r>
    </w:p>
    <w:p w14:paraId="62FC0D3F" w14:textId="5B314DA0" w:rsidR="002F7A0B" w:rsidRPr="00B63980" w:rsidRDefault="002F7A0B" w:rsidP="005F3C38">
      <w:pPr>
        <w:spacing w:after="160" w:line="276" w:lineRule="auto"/>
        <w:rPr>
          <w:color w:val="auto"/>
        </w:rPr>
      </w:pPr>
      <w:r w:rsidRPr="0053354B">
        <w:t xml:space="preserve">Across all </w:t>
      </w:r>
      <w:r w:rsidRPr="00B63980">
        <w:rPr>
          <w:color w:val="auto"/>
        </w:rPr>
        <w:t>categories, the NIR Hazard Log demonstrates a mature and systematic approach to risk identification and mitigation.</w:t>
      </w:r>
      <w:r w:rsidR="00293E3D" w:rsidRPr="00B63980">
        <w:rPr>
          <w:color w:val="auto"/>
        </w:rPr>
        <w:t xml:space="preserve"> </w:t>
      </w:r>
      <w:r w:rsidRPr="00B63980">
        <w:rPr>
          <w:color w:val="auto"/>
        </w:rPr>
        <w:t xml:space="preserve">Of the </w:t>
      </w:r>
      <w:r w:rsidR="00AC2FB5" w:rsidRPr="00B63980">
        <w:rPr>
          <w:color w:val="auto"/>
        </w:rPr>
        <w:t>1</w:t>
      </w:r>
      <w:r w:rsidR="00C464BA">
        <w:rPr>
          <w:color w:val="auto"/>
        </w:rPr>
        <w:t>1</w:t>
      </w:r>
      <w:r w:rsidRPr="00B63980">
        <w:rPr>
          <w:color w:val="auto"/>
        </w:rPr>
        <w:t xml:space="preserve"> hazards recorded:</w:t>
      </w:r>
    </w:p>
    <w:p w14:paraId="7A95188D" w14:textId="77777777" w:rsidR="002F7A0B" w:rsidRPr="00B63980" w:rsidRDefault="002F7A0B" w:rsidP="005F3C38">
      <w:pPr>
        <w:numPr>
          <w:ilvl w:val="0"/>
          <w:numId w:val="43"/>
        </w:numPr>
        <w:spacing w:after="160" w:line="276" w:lineRule="auto"/>
        <w:textboxTightWrap w:val="none"/>
        <w:rPr>
          <w:color w:val="auto"/>
        </w:rPr>
      </w:pPr>
      <w:r w:rsidRPr="00B63980">
        <w:rPr>
          <w:color w:val="auto"/>
        </w:rPr>
        <w:t>All have defined controls under at least one of the three headings (SDT, UT, BOP).</w:t>
      </w:r>
    </w:p>
    <w:p w14:paraId="44DBE44A" w14:textId="63027F6D" w:rsidR="002F7A0B" w:rsidRPr="00B63980" w:rsidRDefault="00AC2FB5" w:rsidP="005F3C38">
      <w:pPr>
        <w:numPr>
          <w:ilvl w:val="0"/>
          <w:numId w:val="43"/>
        </w:numPr>
        <w:spacing w:after="160" w:line="276" w:lineRule="auto"/>
        <w:textboxTightWrap w:val="none"/>
        <w:rPr>
          <w:color w:val="auto"/>
        </w:rPr>
      </w:pPr>
      <w:r w:rsidRPr="00B63980">
        <w:rPr>
          <w:color w:val="auto"/>
        </w:rPr>
        <w:t>All</w:t>
      </w:r>
      <w:r w:rsidR="002F7A0B" w:rsidRPr="00B63980">
        <w:rPr>
          <w:color w:val="auto"/>
        </w:rPr>
        <w:t xml:space="preserve"> hazards carry residual risk ratings of </w:t>
      </w:r>
      <w:r w:rsidR="00C464BA">
        <w:rPr>
          <w:color w:val="auto"/>
        </w:rPr>
        <w:t>2</w:t>
      </w:r>
      <w:r w:rsidR="002F7A0B" w:rsidRPr="00B63980">
        <w:rPr>
          <w:color w:val="auto"/>
        </w:rPr>
        <w:t xml:space="preserve"> or lower, meeting DCB 0129 ALARP requirements.</w:t>
      </w:r>
    </w:p>
    <w:p w14:paraId="42D1C984" w14:textId="77777777" w:rsidR="002F7A0B" w:rsidRPr="00B63980" w:rsidRDefault="002F7A0B" w:rsidP="005F3C38">
      <w:pPr>
        <w:numPr>
          <w:ilvl w:val="0"/>
          <w:numId w:val="43"/>
        </w:numPr>
        <w:spacing w:after="160" w:line="276" w:lineRule="auto"/>
        <w:textboxTightWrap w:val="none"/>
        <w:rPr>
          <w:color w:val="auto"/>
        </w:rPr>
      </w:pPr>
      <w:r w:rsidRPr="00B63980">
        <w:rPr>
          <w:color w:val="auto"/>
        </w:rPr>
        <w:t>No hazards are classified as “uncontrolled” or “unacceptable.”</w:t>
      </w:r>
    </w:p>
    <w:p w14:paraId="052CB69B" w14:textId="77777777" w:rsidR="002F7A0B" w:rsidRPr="00B63980" w:rsidRDefault="002F7A0B" w:rsidP="005F3C38">
      <w:pPr>
        <w:numPr>
          <w:ilvl w:val="0"/>
          <w:numId w:val="43"/>
        </w:numPr>
        <w:spacing w:after="160" w:line="276" w:lineRule="auto"/>
        <w:textboxTightWrap w:val="none"/>
        <w:rPr>
          <w:color w:val="auto"/>
        </w:rPr>
      </w:pPr>
      <w:r w:rsidRPr="00B63980">
        <w:rPr>
          <w:color w:val="auto"/>
        </w:rPr>
        <w:t>Three are categorised as “Accepted with mitigation,” denoting ongoing monitoring.</w:t>
      </w:r>
    </w:p>
    <w:p w14:paraId="7D78712C" w14:textId="77777777" w:rsidR="002D0F4B" w:rsidRDefault="002D0F4B" w:rsidP="00A63F64"/>
    <w:p w14:paraId="567DF5A1" w14:textId="77777777" w:rsidR="00C464BA" w:rsidRPr="00C464BA" w:rsidRDefault="00C464BA" w:rsidP="00B3622E">
      <w:pPr>
        <w:pStyle w:val="Heading3"/>
        <w:rPr>
          <w:color w:val="auto"/>
          <w:sz w:val="27"/>
          <w:szCs w:val="27"/>
        </w:rPr>
      </w:pPr>
      <w:bookmarkStart w:id="50" w:name="_Toc214870537"/>
      <w:r w:rsidRPr="00C464BA">
        <w:t>Hazard Set Clarification (DCB0129 vs DCB0160)</w:t>
      </w:r>
    </w:p>
    <w:p w14:paraId="57BB88A7" w14:textId="58F9D438" w:rsidR="00C464BA" w:rsidRPr="00C464BA" w:rsidRDefault="00C464BA" w:rsidP="005F3C38">
      <w:pPr>
        <w:pStyle w:val="NormalWeb"/>
        <w:spacing w:after="0" w:line="276" w:lineRule="auto"/>
        <w:rPr>
          <w:rFonts w:asciiTheme="minorHAnsi" w:hAnsiTheme="minorHAnsi" w:cstheme="minorHAnsi"/>
        </w:rPr>
      </w:pPr>
      <w:r w:rsidRPr="00C464BA">
        <w:rPr>
          <w:rFonts w:asciiTheme="minorHAnsi" w:hAnsiTheme="minorHAnsi" w:cstheme="minorHAnsi"/>
        </w:rPr>
        <w:t xml:space="preserve">The hazards presented within this Clinical Safety Case Report reflect the </w:t>
      </w:r>
      <w:r w:rsidRPr="00C464BA">
        <w:rPr>
          <w:rStyle w:val="Strong"/>
          <w:rFonts w:cstheme="minorHAnsi"/>
          <w:b w:val="0"/>
          <w:bCs w:val="0"/>
        </w:rPr>
        <w:t>DCB0129 manufacturer hazard set</w:t>
      </w:r>
      <w:r w:rsidRPr="00C464BA">
        <w:rPr>
          <w:rFonts w:asciiTheme="minorHAnsi" w:hAnsiTheme="minorHAnsi" w:cstheme="minorHAnsi"/>
          <w:b/>
          <w:bCs/>
        </w:rPr>
        <w:t xml:space="preserve">, </w:t>
      </w:r>
      <w:r w:rsidRPr="00C464BA">
        <w:rPr>
          <w:rFonts w:asciiTheme="minorHAnsi" w:hAnsiTheme="minorHAnsi" w:cstheme="minorHAnsi"/>
        </w:rPr>
        <w:t>which consists of eleven (11) system-level hazards (HAZ001–HAZ011).</w:t>
      </w:r>
      <w:r>
        <w:rPr>
          <w:rFonts w:asciiTheme="minorHAnsi" w:hAnsiTheme="minorHAnsi" w:cstheme="minorHAnsi"/>
        </w:rPr>
        <w:t xml:space="preserve"> </w:t>
      </w:r>
      <w:r w:rsidRPr="00C464BA">
        <w:rPr>
          <w:rFonts w:asciiTheme="minorHAnsi" w:hAnsiTheme="minorHAnsi" w:cstheme="minorHAnsi"/>
        </w:rPr>
        <w:t xml:space="preserve">In addition to this, a </w:t>
      </w:r>
      <w:r w:rsidRPr="00C464BA">
        <w:rPr>
          <w:rStyle w:val="Strong"/>
          <w:rFonts w:cstheme="minorHAnsi"/>
          <w:b w:val="0"/>
          <w:bCs w:val="0"/>
        </w:rPr>
        <w:t>separate deployment-focused hazard set</w:t>
      </w:r>
      <w:r w:rsidRPr="00C464BA">
        <w:rPr>
          <w:rFonts w:asciiTheme="minorHAnsi" w:hAnsiTheme="minorHAnsi" w:cstheme="minorHAnsi"/>
        </w:rPr>
        <w:t xml:space="preserve"> has been defined to support onboarding and safe implementation across NHS organisations under DCB0160. These hazards are referenced as </w:t>
      </w:r>
      <w:r w:rsidRPr="00C464BA">
        <w:rPr>
          <w:rStyle w:val="Strong"/>
          <w:rFonts w:cstheme="minorHAnsi"/>
          <w:b w:val="0"/>
          <w:bCs w:val="0"/>
        </w:rPr>
        <w:t>DHAZ012–DHAZ021</w:t>
      </w:r>
      <w:r w:rsidRPr="00C464BA">
        <w:rPr>
          <w:rFonts w:asciiTheme="minorHAnsi" w:hAnsiTheme="minorHAnsi" w:cstheme="minorHAnsi"/>
          <w:b/>
          <w:bCs/>
        </w:rPr>
        <w:t>.</w:t>
      </w:r>
      <w:r>
        <w:rPr>
          <w:rFonts w:asciiTheme="minorHAnsi" w:hAnsiTheme="minorHAnsi" w:cstheme="minorHAnsi"/>
        </w:rPr>
        <w:t xml:space="preserve"> </w:t>
      </w:r>
      <w:r w:rsidRPr="00C464BA">
        <w:rPr>
          <w:rFonts w:asciiTheme="minorHAnsi" w:hAnsiTheme="minorHAnsi" w:cstheme="minorHAnsi"/>
        </w:rPr>
        <w:t>Where appropriate, DCB0129 hazards are mapped to deployment controls and onboarding requirements; however:</w:t>
      </w:r>
    </w:p>
    <w:p w14:paraId="5076492E" w14:textId="77777777" w:rsidR="00C464BA" w:rsidRPr="00C464BA" w:rsidRDefault="00C464BA" w:rsidP="005F3C38">
      <w:pPr>
        <w:numPr>
          <w:ilvl w:val="0"/>
          <w:numId w:val="72"/>
        </w:numPr>
        <w:spacing w:after="0" w:line="276" w:lineRule="auto"/>
        <w:textboxTightWrap w:val="none"/>
        <w:rPr>
          <w:rFonts w:asciiTheme="minorHAnsi" w:hAnsiTheme="minorHAnsi" w:cstheme="minorHAnsi"/>
        </w:rPr>
      </w:pPr>
      <w:r w:rsidRPr="00C464BA">
        <w:rPr>
          <w:rFonts w:asciiTheme="minorHAnsi" w:hAnsiTheme="minorHAnsi" w:cstheme="minorHAnsi"/>
        </w:rPr>
        <w:t xml:space="preserve">Ownership of DCB0129 hazards remains with the NIR programme (manufacturer responsibilities) </w:t>
      </w:r>
    </w:p>
    <w:p w14:paraId="64E253BC" w14:textId="77777777" w:rsidR="00C464BA" w:rsidRPr="00C464BA" w:rsidRDefault="00C464BA" w:rsidP="005F3C38">
      <w:pPr>
        <w:numPr>
          <w:ilvl w:val="0"/>
          <w:numId w:val="72"/>
        </w:numPr>
        <w:spacing w:after="0" w:line="276" w:lineRule="auto"/>
        <w:textboxTightWrap w:val="none"/>
        <w:rPr>
          <w:rFonts w:asciiTheme="minorHAnsi" w:hAnsiTheme="minorHAnsi" w:cstheme="minorHAnsi"/>
        </w:rPr>
      </w:pPr>
      <w:r w:rsidRPr="00C464BA">
        <w:rPr>
          <w:rFonts w:asciiTheme="minorHAnsi" w:hAnsiTheme="minorHAnsi" w:cstheme="minorHAnsi"/>
        </w:rPr>
        <w:t xml:space="preserve">Ownership of DCB0160 hazards rests with each deploying organisation and their appointed Clinical Safety Officer </w:t>
      </w:r>
    </w:p>
    <w:p w14:paraId="59B32DF5" w14:textId="24A028B2" w:rsidR="00C464BA" w:rsidRPr="00C464BA" w:rsidRDefault="00C464BA" w:rsidP="005F3C38">
      <w:pPr>
        <w:pStyle w:val="NormalWeb"/>
        <w:spacing w:after="0" w:line="276" w:lineRule="auto"/>
        <w:rPr>
          <w:rFonts w:asciiTheme="minorHAnsi" w:hAnsiTheme="minorHAnsi" w:cstheme="minorHAnsi"/>
        </w:rPr>
      </w:pPr>
      <w:r w:rsidRPr="00C464BA">
        <w:rPr>
          <w:rFonts w:asciiTheme="minorHAnsi" w:hAnsiTheme="minorHAnsi" w:cstheme="minorHAnsi"/>
        </w:rPr>
        <w:t>This separation ensures clear delineation between system design risk and deployment risk and avoids duplication or ambiguity in hazard ownership.</w:t>
      </w:r>
    </w:p>
    <w:p w14:paraId="68B4F717" w14:textId="77777777" w:rsidR="00891A0F" w:rsidRDefault="00891A0F" w:rsidP="005F3C38">
      <w:pPr>
        <w:spacing w:after="0" w:line="276" w:lineRule="auto"/>
        <w:textboxTightWrap w:val="none"/>
        <w:rPr>
          <w:rFonts w:eastAsia="MS Mincho"/>
          <w:b/>
          <w:color w:val="005EB8"/>
          <w:spacing w:val="-6"/>
          <w:kern w:val="28"/>
          <w:sz w:val="28"/>
          <w:szCs w:val="28"/>
          <w14:ligatures w14:val="standardContextual"/>
        </w:rPr>
      </w:pPr>
      <w:r>
        <w:br w:type="page"/>
      </w:r>
    </w:p>
    <w:p w14:paraId="7E83F6E7" w14:textId="4FC42C1C" w:rsidR="000E7284" w:rsidRPr="00B63980" w:rsidRDefault="00631603" w:rsidP="00105D26">
      <w:pPr>
        <w:pStyle w:val="Heading2"/>
      </w:pPr>
      <w:r w:rsidRPr="00B63980">
        <w:lastRenderedPageBreak/>
        <w:t>Hazards of Note (P</w:t>
      </w:r>
      <w:r w:rsidR="00A63F64">
        <w:t>re</w:t>
      </w:r>
      <w:r w:rsidRPr="00B63980">
        <w:t>-Mitigation, Residual ≤ 3)</w:t>
      </w:r>
      <w:bookmarkEnd w:id="50"/>
    </w:p>
    <w:p w14:paraId="6C20AF42" w14:textId="554C44ED" w:rsidR="002D0F4B" w:rsidRDefault="00631603" w:rsidP="002D0F4B">
      <w:r w:rsidRPr="00B63980">
        <w:t>The following hazards represent the most clinically significant risks identified through structured analysis and retained within the risk register for monitoring.</w:t>
      </w:r>
    </w:p>
    <w:p w14:paraId="6FB56666" w14:textId="77777777" w:rsidR="002D0F4B" w:rsidRPr="002D0F4B" w:rsidRDefault="002D0F4B" w:rsidP="00B63980">
      <w:pPr>
        <w:pStyle w:val="ListParagraph"/>
        <w:numPr>
          <w:ilvl w:val="0"/>
          <w:numId w:val="52"/>
        </w:numPr>
        <w:rPr>
          <w:lang w:eastAsia="en-GB"/>
        </w:rPr>
      </w:pPr>
      <w:r w:rsidRPr="002D0F4B">
        <w:rPr>
          <w:lang w:eastAsia="en-GB"/>
        </w:rPr>
        <w:t>HAZ001 – Incorrect Patient–Image Matching</w:t>
      </w:r>
    </w:p>
    <w:p w14:paraId="1D264367" w14:textId="77777777" w:rsidR="002D0F4B" w:rsidRPr="002D0F4B" w:rsidRDefault="002D0F4B" w:rsidP="00B63980">
      <w:pPr>
        <w:pStyle w:val="ListParagraph"/>
        <w:numPr>
          <w:ilvl w:val="0"/>
          <w:numId w:val="52"/>
        </w:numPr>
        <w:rPr>
          <w:lang w:eastAsia="en-GB"/>
        </w:rPr>
      </w:pPr>
      <w:r w:rsidRPr="002D0F4B">
        <w:rPr>
          <w:lang w:eastAsia="en-GB"/>
        </w:rPr>
        <w:t>HAZ005 – User Interface Complexity Leading to Workflow Errors</w:t>
      </w:r>
    </w:p>
    <w:p w14:paraId="5FF492EB" w14:textId="77777777" w:rsidR="002D0F4B" w:rsidRDefault="002D0F4B" w:rsidP="00B63980">
      <w:pPr>
        <w:pStyle w:val="ListParagraph"/>
        <w:numPr>
          <w:ilvl w:val="0"/>
          <w:numId w:val="52"/>
        </w:numPr>
        <w:rPr>
          <w:lang w:eastAsia="en-GB"/>
        </w:rPr>
      </w:pPr>
      <w:r w:rsidRPr="002D0F4B">
        <w:rPr>
          <w:lang w:eastAsia="en-GB"/>
        </w:rPr>
        <w:t>HAZ007 – Loss or Corruption of Imaging Data</w:t>
      </w:r>
    </w:p>
    <w:p w14:paraId="457F9D68" w14:textId="7F13C40C" w:rsidR="005F3C38" w:rsidRPr="005F3C38" w:rsidRDefault="005F3C38" w:rsidP="005F3C38">
      <w:pPr>
        <w:pStyle w:val="ListParagraph"/>
        <w:numPr>
          <w:ilvl w:val="0"/>
          <w:numId w:val="52"/>
        </w:numPr>
        <w:spacing w:before="100" w:beforeAutospacing="1" w:after="100" w:afterAutospacing="1"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HAZ011 – Omission of imaging data due to HCID query restriction within the NIR Gateway</w:t>
      </w:r>
    </w:p>
    <w:p w14:paraId="517A85F8" w14:textId="37CDEAA8" w:rsidR="00C35C33" w:rsidRDefault="002F7A0B" w:rsidP="00364139">
      <w:pPr>
        <w:spacing w:after="160" w:line="278" w:lineRule="auto"/>
      </w:pPr>
      <w:r w:rsidRPr="0053354B">
        <w:t>Each of these has been mitigated through a combination of technical design, onboarding governance, and service management processes, but they warrant continued observation during national deployment.</w:t>
      </w:r>
      <w:r w:rsidR="002D0F4B">
        <w:t xml:space="preserve"> Each carries a residual risk rating of </w:t>
      </w:r>
      <w:r w:rsidR="005F3C38">
        <w:t>2</w:t>
      </w:r>
      <w:r w:rsidR="002D0F4B">
        <w:t xml:space="preserve"> or lower and is controlled to a level that is As Low As Reasonably Practicable (ALARP).</w:t>
      </w:r>
    </w:p>
    <w:p w14:paraId="021FBCD5" w14:textId="77777777" w:rsidR="002D0F4B" w:rsidRPr="00B63980" w:rsidRDefault="002D0F4B" w:rsidP="00FD4381">
      <w:r w:rsidRPr="00B63980">
        <w:rPr>
          <w:rStyle w:val="Strong"/>
          <w:rFonts w:cstheme="minorHAnsi"/>
          <w:bCs w:val="0"/>
        </w:rPr>
        <w:t>HAZ001 – Incorrect Patient–Image Matching</w:t>
      </w:r>
    </w:p>
    <w:p w14:paraId="169BF19A" w14:textId="77777777" w:rsidR="002D0F4B" w:rsidRPr="00B63980" w:rsidRDefault="002D0F4B" w:rsidP="00D2515C">
      <w:pPr>
        <w:pStyle w:val="ListParagraph"/>
        <w:numPr>
          <w:ilvl w:val="0"/>
          <w:numId w:val="53"/>
        </w:numPr>
      </w:pPr>
      <w:r w:rsidRPr="00D2515C">
        <w:rPr>
          <w:rStyle w:val="Strong"/>
          <w:rFonts w:cstheme="minorHAnsi"/>
          <w:b w:val="0"/>
          <w:bCs w:val="0"/>
        </w:rPr>
        <w:t>Initial Risk Rating:</w:t>
      </w:r>
      <w:r w:rsidRPr="00D2515C">
        <w:rPr>
          <w:b/>
          <w:bCs/>
        </w:rPr>
        <w:t xml:space="preserve"> </w:t>
      </w:r>
      <w:r w:rsidRPr="00B63980">
        <w:t>3</w:t>
      </w:r>
      <w:r w:rsidRPr="00B63980">
        <w:rPr>
          <w:b/>
          <w:bCs/>
        </w:rPr>
        <w:t> </w:t>
      </w:r>
      <w:r w:rsidRPr="00B63980">
        <w:rPr>
          <w:b/>
          <w:bCs/>
        </w:rPr>
        <w:t> </w:t>
      </w:r>
      <w:r w:rsidRPr="00D2515C">
        <w:rPr>
          <w:rStyle w:val="Strong"/>
          <w:rFonts w:cstheme="minorHAnsi"/>
          <w:b w:val="0"/>
          <w:bCs w:val="0"/>
        </w:rPr>
        <w:t>Residual Risk Rating</w:t>
      </w:r>
      <w:r w:rsidRPr="00D2515C">
        <w:rPr>
          <w:rStyle w:val="Strong"/>
          <w:rFonts w:cstheme="minorHAnsi"/>
        </w:rPr>
        <w:t>:</w:t>
      </w:r>
      <w:r w:rsidRPr="00B63980">
        <w:t xml:space="preserve"> 2</w:t>
      </w:r>
    </w:p>
    <w:p w14:paraId="77905997" w14:textId="77777777" w:rsidR="002D0F4B" w:rsidRPr="00B63980" w:rsidRDefault="002D0F4B" w:rsidP="00D2515C">
      <w:pPr>
        <w:pStyle w:val="ListParagraph"/>
        <w:numPr>
          <w:ilvl w:val="0"/>
          <w:numId w:val="53"/>
        </w:numPr>
      </w:pPr>
      <w:r w:rsidRPr="00D2515C">
        <w:rPr>
          <w:rStyle w:val="Strong"/>
          <w:rFonts w:cstheme="minorHAnsi"/>
          <w:b w:val="0"/>
          <w:bCs w:val="0"/>
        </w:rPr>
        <w:t>Description:</w:t>
      </w:r>
      <w:r w:rsidRPr="00B63980">
        <w:t xml:space="preserve"> Risk that imaging data may be incorrectly linked to the wrong patient record within the federated system, potentially leading to misdiagnosis or inappropriate treatment.</w:t>
      </w:r>
    </w:p>
    <w:p w14:paraId="77C9F2FC" w14:textId="77777777" w:rsidR="002D0F4B" w:rsidRPr="00B63980" w:rsidRDefault="002D0F4B" w:rsidP="00D2515C">
      <w:pPr>
        <w:pStyle w:val="ListParagraph"/>
        <w:numPr>
          <w:ilvl w:val="0"/>
          <w:numId w:val="53"/>
        </w:numPr>
      </w:pPr>
      <w:r w:rsidRPr="00D2515C">
        <w:rPr>
          <w:rStyle w:val="Strong"/>
          <w:rFonts w:cstheme="minorHAnsi"/>
          <w:b w:val="0"/>
          <w:bCs w:val="0"/>
        </w:rPr>
        <w:t>Mitigations:</w:t>
      </w:r>
      <w:r w:rsidRPr="00B63980">
        <w:t xml:space="preserve"> NHS Number and DICOM UID validation, automated matching, reconciliation workflows, and rejection of mismatched records.</w:t>
      </w:r>
    </w:p>
    <w:p w14:paraId="197B946D" w14:textId="77777777" w:rsidR="002D0F4B" w:rsidRPr="00B63980" w:rsidRDefault="002D0F4B" w:rsidP="00D2515C">
      <w:pPr>
        <w:pStyle w:val="ListParagraph"/>
        <w:numPr>
          <w:ilvl w:val="0"/>
          <w:numId w:val="53"/>
        </w:numPr>
      </w:pPr>
      <w:r w:rsidRPr="00D2515C">
        <w:rPr>
          <w:rStyle w:val="Strong"/>
          <w:rFonts w:cstheme="minorHAnsi"/>
          <w:b w:val="0"/>
          <w:bCs w:val="0"/>
        </w:rPr>
        <w:t>Residual Risk Statement:</w:t>
      </w:r>
      <w:r w:rsidRPr="00B63980">
        <w:t xml:space="preserve"> Residual risk remains low; monitoring continues through data validation reports and CSO review.</w:t>
      </w:r>
    </w:p>
    <w:p w14:paraId="34F9DC36" w14:textId="77777777" w:rsidR="002D0F4B" w:rsidRPr="00B63980" w:rsidRDefault="002D0F4B" w:rsidP="002D0F4B">
      <w:pPr>
        <w:pStyle w:val="Heading4"/>
        <w:rPr>
          <w:rFonts w:asciiTheme="minorHAnsi" w:hAnsiTheme="minorHAnsi" w:cstheme="minorHAnsi"/>
          <w:color w:val="0F0F0F" w:themeColor="text1"/>
          <w:szCs w:val="24"/>
        </w:rPr>
      </w:pPr>
      <w:r w:rsidRPr="00B63980">
        <w:rPr>
          <w:rStyle w:val="Strong"/>
          <w:rFonts w:cstheme="minorHAnsi"/>
          <w:b/>
          <w:bCs w:val="0"/>
          <w:color w:val="0F0F0F" w:themeColor="text1"/>
          <w:szCs w:val="24"/>
        </w:rPr>
        <w:t>HAZ005 – User Interface Complexity Leading to Workflow Errors</w:t>
      </w:r>
    </w:p>
    <w:p w14:paraId="7081C973" w14:textId="77777777" w:rsidR="002D0F4B" w:rsidRPr="00B63980" w:rsidRDefault="002D0F4B" w:rsidP="00D2515C">
      <w:pPr>
        <w:pStyle w:val="ListParagraph"/>
        <w:numPr>
          <w:ilvl w:val="0"/>
          <w:numId w:val="54"/>
        </w:numPr>
      </w:pPr>
      <w:r w:rsidRPr="00D2515C">
        <w:rPr>
          <w:rStyle w:val="Strong"/>
          <w:rFonts w:cstheme="minorHAnsi"/>
          <w:b w:val="0"/>
          <w:bCs w:val="0"/>
        </w:rPr>
        <w:t>Initial Risk Rating:</w:t>
      </w:r>
      <w:r w:rsidRPr="00B63980">
        <w:t xml:space="preserve"> 3</w:t>
      </w:r>
      <w:r w:rsidRPr="00B63980">
        <w:t> </w:t>
      </w:r>
      <w:r w:rsidRPr="00B63980">
        <w:t> </w:t>
      </w:r>
      <w:r w:rsidRPr="00D2515C">
        <w:rPr>
          <w:rStyle w:val="Strong"/>
          <w:rFonts w:cstheme="minorHAnsi"/>
          <w:b w:val="0"/>
          <w:bCs w:val="0"/>
        </w:rPr>
        <w:t>Residual Risk Rating:</w:t>
      </w:r>
      <w:r w:rsidRPr="00B63980">
        <w:t xml:space="preserve"> 2</w:t>
      </w:r>
    </w:p>
    <w:p w14:paraId="3E1A25B5" w14:textId="77777777" w:rsidR="002D0F4B" w:rsidRPr="00B63980" w:rsidRDefault="002D0F4B" w:rsidP="00D2515C">
      <w:pPr>
        <w:pStyle w:val="ListParagraph"/>
        <w:numPr>
          <w:ilvl w:val="0"/>
          <w:numId w:val="54"/>
        </w:numPr>
      </w:pPr>
      <w:r w:rsidRPr="00D2515C">
        <w:rPr>
          <w:rStyle w:val="Strong"/>
          <w:rFonts w:cstheme="minorHAnsi"/>
          <w:b w:val="0"/>
          <w:bCs w:val="0"/>
        </w:rPr>
        <w:t>Description:</w:t>
      </w:r>
      <w:r w:rsidRPr="00B63980">
        <w:t xml:space="preserve"> A non-intuitive user interface may cause navigation errors or incorrect study selection, delaying access to correct imaging.</w:t>
      </w:r>
    </w:p>
    <w:p w14:paraId="0C255E02" w14:textId="77777777" w:rsidR="002D0F4B" w:rsidRPr="00B63980" w:rsidRDefault="002D0F4B" w:rsidP="00D2515C">
      <w:pPr>
        <w:pStyle w:val="ListParagraph"/>
        <w:numPr>
          <w:ilvl w:val="0"/>
          <w:numId w:val="54"/>
        </w:numPr>
      </w:pPr>
      <w:r w:rsidRPr="00D2515C">
        <w:rPr>
          <w:rStyle w:val="Strong"/>
          <w:rFonts w:cstheme="minorHAnsi"/>
          <w:b w:val="0"/>
          <w:bCs w:val="0"/>
        </w:rPr>
        <w:t>Mitigations:</w:t>
      </w:r>
      <w:r w:rsidRPr="00B63980">
        <w:t xml:space="preserve"> UI design adheres to NHS accessibility standards; user testing, training, and feedback mechanisms implemented.</w:t>
      </w:r>
    </w:p>
    <w:p w14:paraId="1094309F" w14:textId="77777777" w:rsidR="002D0F4B" w:rsidRPr="00B63980" w:rsidRDefault="002D0F4B" w:rsidP="00D2515C">
      <w:pPr>
        <w:pStyle w:val="ListParagraph"/>
        <w:numPr>
          <w:ilvl w:val="0"/>
          <w:numId w:val="54"/>
        </w:numPr>
      </w:pPr>
      <w:r w:rsidRPr="00D2515C">
        <w:rPr>
          <w:rStyle w:val="Strong"/>
          <w:rFonts w:cstheme="minorHAnsi"/>
          <w:b w:val="0"/>
          <w:bCs w:val="0"/>
        </w:rPr>
        <w:t>Residual Risk Statement</w:t>
      </w:r>
      <w:r w:rsidRPr="00D2515C">
        <w:rPr>
          <w:rStyle w:val="Strong"/>
          <w:rFonts w:cstheme="minorHAnsi"/>
        </w:rPr>
        <w:t>:</w:t>
      </w:r>
      <w:r w:rsidRPr="00B63980">
        <w:t xml:space="preserve"> Low residual risk; continued user feedback and UI evaluation maintained as part of governance.</w:t>
      </w:r>
    </w:p>
    <w:p w14:paraId="2019F897" w14:textId="77777777" w:rsidR="002D0F4B" w:rsidRPr="00B63980" w:rsidRDefault="002D0F4B" w:rsidP="00FD4381">
      <w:r w:rsidRPr="00B63980">
        <w:rPr>
          <w:rStyle w:val="Strong"/>
          <w:rFonts w:cstheme="minorHAnsi"/>
          <w:bCs w:val="0"/>
        </w:rPr>
        <w:t>HAZ007 – Loss or Corruption of Imaging Data</w:t>
      </w:r>
    </w:p>
    <w:p w14:paraId="1F626E82" w14:textId="5E648AF9" w:rsidR="002D0F4B" w:rsidRPr="00B63980" w:rsidRDefault="002D0F4B" w:rsidP="00D2515C">
      <w:pPr>
        <w:pStyle w:val="ListParagraph"/>
        <w:numPr>
          <w:ilvl w:val="0"/>
          <w:numId w:val="55"/>
        </w:numPr>
      </w:pPr>
      <w:r w:rsidRPr="00D2515C">
        <w:rPr>
          <w:rStyle w:val="Strong"/>
          <w:rFonts w:cstheme="minorHAnsi"/>
          <w:b w:val="0"/>
          <w:bCs w:val="0"/>
        </w:rPr>
        <w:t>Initial Risk Rating</w:t>
      </w:r>
      <w:r w:rsidRPr="00D2515C">
        <w:rPr>
          <w:rStyle w:val="Strong"/>
          <w:rFonts w:cstheme="minorHAnsi"/>
        </w:rPr>
        <w:t>:</w:t>
      </w:r>
      <w:r w:rsidRPr="00B63980">
        <w:t xml:space="preserve"> </w:t>
      </w:r>
      <w:r w:rsidR="00250578" w:rsidRPr="00B63980">
        <w:t>3</w:t>
      </w:r>
      <w:r w:rsidRPr="00B63980">
        <w:t> </w:t>
      </w:r>
      <w:r w:rsidRPr="00B63980">
        <w:t> </w:t>
      </w:r>
      <w:r w:rsidRPr="00D2515C">
        <w:rPr>
          <w:rStyle w:val="Strong"/>
          <w:rFonts w:cstheme="minorHAnsi"/>
          <w:b w:val="0"/>
          <w:bCs w:val="0"/>
        </w:rPr>
        <w:t>Residual Risk Rating:</w:t>
      </w:r>
      <w:r w:rsidRPr="00B63980">
        <w:t xml:space="preserve"> </w:t>
      </w:r>
      <w:r w:rsidR="00250578" w:rsidRPr="00B63980">
        <w:t>2</w:t>
      </w:r>
    </w:p>
    <w:p w14:paraId="1E3626CD" w14:textId="77777777" w:rsidR="002D0F4B" w:rsidRPr="00B63980" w:rsidRDefault="002D0F4B" w:rsidP="00D2515C">
      <w:pPr>
        <w:pStyle w:val="ListParagraph"/>
        <w:numPr>
          <w:ilvl w:val="0"/>
          <w:numId w:val="55"/>
        </w:numPr>
      </w:pPr>
      <w:r w:rsidRPr="00D2515C">
        <w:rPr>
          <w:rStyle w:val="Strong"/>
          <w:rFonts w:cstheme="minorHAnsi"/>
          <w:b w:val="0"/>
          <w:bCs w:val="0"/>
        </w:rPr>
        <w:t>Description:</w:t>
      </w:r>
      <w:r w:rsidRPr="00B63980">
        <w:t xml:space="preserve"> Imaging data may be lost or corrupted during storage or transfer, risking incomplete or missing diagnostic information.</w:t>
      </w:r>
    </w:p>
    <w:p w14:paraId="1E7B5B72" w14:textId="77777777" w:rsidR="002D0F4B" w:rsidRPr="00B63980" w:rsidRDefault="002D0F4B" w:rsidP="00D2515C">
      <w:pPr>
        <w:pStyle w:val="ListParagraph"/>
        <w:numPr>
          <w:ilvl w:val="0"/>
          <w:numId w:val="55"/>
        </w:numPr>
      </w:pPr>
      <w:r w:rsidRPr="00D2515C">
        <w:rPr>
          <w:rStyle w:val="Strong"/>
          <w:rFonts w:cstheme="minorHAnsi"/>
          <w:b w:val="0"/>
          <w:bCs w:val="0"/>
        </w:rPr>
        <w:t>Mitigations</w:t>
      </w:r>
      <w:r w:rsidRPr="00D2515C">
        <w:rPr>
          <w:rStyle w:val="Strong"/>
          <w:rFonts w:cstheme="minorHAnsi"/>
        </w:rPr>
        <w:t>:</w:t>
      </w:r>
      <w:r w:rsidRPr="00B63980">
        <w:t xml:space="preserve"> Multi-site redundancy, checksum validation, automated replication monitoring, and routine backup-restore testing.</w:t>
      </w:r>
    </w:p>
    <w:p w14:paraId="548DFB55" w14:textId="58012D67" w:rsidR="002D0F4B" w:rsidRDefault="002D0F4B" w:rsidP="00D2515C">
      <w:pPr>
        <w:pStyle w:val="ListParagraph"/>
        <w:numPr>
          <w:ilvl w:val="0"/>
          <w:numId w:val="55"/>
        </w:numPr>
      </w:pPr>
      <w:r w:rsidRPr="00D2515C">
        <w:rPr>
          <w:rStyle w:val="Strong"/>
          <w:rFonts w:cstheme="minorHAnsi"/>
          <w:b w:val="0"/>
          <w:bCs w:val="0"/>
        </w:rPr>
        <w:t>Residual Risk Statement</w:t>
      </w:r>
      <w:r w:rsidRPr="00D2515C">
        <w:rPr>
          <w:rStyle w:val="Strong"/>
          <w:rFonts w:cstheme="minorHAnsi"/>
        </w:rPr>
        <w:t>:</w:t>
      </w:r>
      <w:r w:rsidRPr="00B63980">
        <w:t xml:space="preserve"> Residual risk accepted with mitigation; classified as a hazard of note due to potential diagnostic consequence if multi-site failure occurs.</w:t>
      </w:r>
    </w:p>
    <w:p w14:paraId="48C0CD8D" w14:textId="649CB1AF" w:rsidR="005F3C38" w:rsidRPr="005F3C38" w:rsidRDefault="005F3C38" w:rsidP="005F3C38">
      <w:pPr>
        <w:spacing w:before="100" w:beforeAutospacing="1" w:after="100" w:afterAutospacing="1" w:line="276" w:lineRule="auto"/>
        <w:textboxTightWrap w:val="none"/>
        <w:rPr>
          <w:rFonts w:asciiTheme="minorHAnsi" w:hAnsiTheme="minorHAnsi" w:cstheme="minorHAnsi"/>
          <w:color w:val="auto"/>
          <w:lang w:eastAsia="en-GB"/>
        </w:rPr>
      </w:pPr>
      <w:r w:rsidRPr="005F3C38">
        <w:rPr>
          <w:rFonts w:asciiTheme="minorHAnsi" w:hAnsiTheme="minorHAnsi" w:cstheme="minorHAnsi"/>
          <w:b/>
          <w:bCs/>
          <w:color w:val="auto"/>
          <w:lang w:eastAsia="en-GB"/>
        </w:rPr>
        <w:lastRenderedPageBreak/>
        <w:t>HAZ011 – Omission of imaging data due to HCID query restriction within the NIR Gateway</w:t>
      </w:r>
    </w:p>
    <w:p w14:paraId="279A6A66" w14:textId="77777777" w:rsidR="005F3C38" w:rsidRDefault="005F3C38" w:rsidP="005F3C38">
      <w:pPr>
        <w:pStyle w:val="ListParagraph"/>
        <w:numPr>
          <w:ilvl w:val="0"/>
          <w:numId w:val="55"/>
        </w:numPr>
        <w:spacing w:before="100" w:beforeAutospacing="1" w:after="100" w:afterAutospacing="1"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This hazard relates to the risk that exclusion of specific Home Community IDs (HCIDs) from NIR query broadcasts may result in incomplete imaging results being returned to the clinician.</w:t>
      </w:r>
    </w:p>
    <w:p w14:paraId="23A2CB02" w14:textId="7E1E9BC6" w:rsidR="00022795" w:rsidRPr="00022795" w:rsidRDefault="00022795" w:rsidP="00022795">
      <w:pPr>
        <w:pStyle w:val="ListParagraph"/>
        <w:numPr>
          <w:ilvl w:val="0"/>
          <w:numId w:val="55"/>
        </w:numPr>
        <w:spacing w:before="100" w:beforeAutospacing="1" w:after="100" w:afterAutospacing="1" w:line="276" w:lineRule="auto"/>
        <w:textboxTightWrap w:val="none"/>
        <w:rPr>
          <w:rFonts w:asciiTheme="minorHAnsi" w:hAnsiTheme="minorHAnsi" w:cstheme="minorHAnsi"/>
          <w:color w:val="auto"/>
          <w:lang w:eastAsia="en-GB"/>
        </w:rPr>
      </w:pPr>
      <w:r w:rsidRPr="00022795">
        <w:rPr>
          <w:rFonts w:asciiTheme="minorHAnsi" w:hAnsiTheme="minorHAnsi" w:cstheme="minorHAnsi"/>
          <w:color w:val="auto"/>
          <w:lang w:eastAsia="en-GB"/>
        </w:rPr>
        <w:t>While exclusion supports performance optimisation and avoids duplication where direct integrations exist, it introduces a risk that imaging data may not be returned if exclusions are misconfigured or not aligned with current integration pathways.</w:t>
      </w:r>
    </w:p>
    <w:p w14:paraId="69F08C2A" w14:textId="6B2D71CE" w:rsidR="005F3C38" w:rsidRPr="005F3C38" w:rsidRDefault="005F3C38" w:rsidP="005F3C38">
      <w:pPr>
        <w:pStyle w:val="ListParagraph"/>
        <w:numPr>
          <w:ilvl w:val="0"/>
          <w:numId w:val="55"/>
        </w:numPr>
        <w:spacing w:before="100" w:beforeAutospacing="1" w:after="100" w:afterAutospacing="1"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 xml:space="preserve">This is mitigated through centrally governed HCID exclusion configuration, alignment with the national HCID register, validation with </w:t>
      </w:r>
      <w:r w:rsidR="000B4F22">
        <w:t>Providers / Organisations</w:t>
      </w:r>
      <w:r w:rsidR="000B4F22">
        <w:t xml:space="preserve"> </w:t>
      </w:r>
      <w:r w:rsidRPr="005F3C38">
        <w:rPr>
          <w:rFonts w:asciiTheme="minorHAnsi" w:hAnsiTheme="minorHAnsi" w:cstheme="minorHAnsi"/>
          <w:color w:val="auto"/>
          <w:lang w:eastAsia="en-GB"/>
        </w:rPr>
        <w:t>prior to exclusion, and the use of explicit system warnings (e.g. XDSUnavailableCommunity) where results may be incomplete.</w:t>
      </w:r>
    </w:p>
    <w:p w14:paraId="0B8D8894" w14:textId="6F104191" w:rsidR="00022795" w:rsidRPr="00022795" w:rsidRDefault="005F3C38" w:rsidP="00022795">
      <w:pPr>
        <w:pStyle w:val="ListParagraph"/>
        <w:numPr>
          <w:ilvl w:val="0"/>
          <w:numId w:val="55"/>
        </w:numPr>
        <w:spacing w:before="100" w:beforeAutospacing="1" w:after="100" w:afterAutospacing="1" w:line="276" w:lineRule="auto"/>
        <w:textboxTightWrap w:val="none"/>
        <w:rPr>
          <w:rFonts w:asciiTheme="minorHAnsi" w:hAnsiTheme="minorHAnsi" w:cstheme="minorHAnsi"/>
          <w:color w:val="auto"/>
          <w:lang w:eastAsia="en-GB"/>
        </w:rPr>
      </w:pPr>
      <w:r w:rsidRPr="005F3C38">
        <w:rPr>
          <w:rFonts w:asciiTheme="minorHAnsi" w:hAnsiTheme="minorHAnsi" w:cstheme="minorHAnsi"/>
          <w:color w:val="auto"/>
          <w:lang w:eastAsia="en-GB"/>
        </w:rPr>
        <w:t>Residual risk is considered low due to the supplementary nature of NIR and the availability of local PACS and direct integration fallback routes.</w:t>
      </w:r>
    </w:p>
    <w:p w14:paraId="13F446AF" w14:textId="0445845D" w:rsidR="00C35C33" w:rsidRDefault="004A7DEB" w:rsidP="00105D26">
      <w:pPr>
        <w:pStyle w:val="Heading2"/>
      </w:pPr>
      <w:bookmarkStart w:id="51" w:name="_Toc214870538"/>
      <w:r>
        <w:t xml:space="preserve">NIR Additional </w:t>
      </w:r>
      <w:r w:rsidRPr="0000670C">
        <w:t xml:space="preserve">Controls and Safety Recommendations </w:t>
      </w:r>
      <w:r>
        <w:t>(DCB 0160)</w:t>
      </w:r>
      <w:bookmarkEnd w:id="51"/>
    </w:p>
    <w:p w14:paraId="754C9C2A" w14:textId="6472675D" w:rsidR="00364139" w:rsidRPr="00837BCC" w:rsidRDefault="00364139" w:rsidP="00364139">
      <w:pPr>
        <w:spacing w:after="160" w:line="278" w:lineRule="auto"/>
      </w:pPr>
      <w:r w:rsidRPr="00837BCC">
        <w:t>The findings and</w:t>
      </w:r>
      <w:r>
        <w:t xml:space="preserve"> supplier/user </w:t>
      </w:r>
      <w:r w:rsidRPr="00837BCC">
        <w:t xml:space="preserve">recommendations arising from the DCB 0129 clinical risk assessment will directly inform the DCB 0160 safety requirements applicable to </w:t>
      </w:r>
      <w:r>
        <w:t>suppliers</w:t>
      </w:r>
      <w:r w:rsidRPr="00837BCC">
        <w:t xml:space="preserve"> and deployment partners. These requirements ensure that all systems and organisations integrating with the NIR adopt equivalent clinical safety controls and maintain alignment with the national safety case.</w:t>
      </w:r>
    </w:p>
    <w:p w14:paraId="170FF8F6" w14:textId="77777777" w:rsidR="00364139" w:rsidRDefault="00364139" w:rsidP="00364139">
      <w:pPr>
        <w:spacing w:after="160" w:line="278" w:lineRule="auto"/>
      </w:pPr>
      <w:r w:rsidRPr="00837BCC">
        <w:t xml:space="preserve">Each DCB 0160 </w:t>
      </w:r>
      <w:r>
        <w:t xml:space="preserve">recommendation </w:t>
      </w:r>
      <w:r w:rsidRPr="00837BCC">
        <w:t>covering supplier assurance, configuration testing, and local operational processes</w:t>
      </w:r>
      <w:r>
        <w:t xml:space="preserve"> </w:t>
      </w:r>
      <w:r w:rsidRPr="00837BCC">
        <w:t>will reference the relevant DCB 0129 hazard controls and mitigations. Compliance evidence will be captured and indexed within the NHS England Digital Onboarding Process</w:t>
      </w:r>
      <w:r>
        <w:t>es</w:t>
      </w:r>
      <w:r w:rsidRPr="00837BCC">
        <w:t>, providing a single traceable record of safety validation and demonstrating that identified risks are effectively managed across all connected systems.</w:t>
      </w:r>
    </w:p>
    <w:p w14:paraId="55D5E728" w14:textId="01781B48" w:rsidR="00364139" w:rsidRPr="0053354B" w:rsidRDefault="00364139" w:rsidP="002F7A0B">
      <w:pPr>
        <w:spacing w:after="160" w:line="278" w:lineRule="auto"/>
      </w:pPr>
      <w:r>
        <w:t>The</w:t>
      </w:r>
      <w:r w:rsidR="00834FA2">
        <w:t xml:space="preserve"> safety Recommendations for </w:t>
      </w:r>
      <w:r w:rsidR="00A061A9">
        <w:t>the deployed solution (</w:t>
      </w:r>
      <w:r w:rsidR="00834FA2">
        <w:t>DCB 0160</w:t>
      </w:r>
      <w:r w:rsidR="00A061A9">
        <w:t>) are detailed in the following section</w:t>
      </w:r>
      <w:r w:rsidR="003F6AD9">
        <w:t xml:space="preserve"> under </w:t>
      </w:r>
      <w:r w:rsidR="003F6AD9" w:rsidRPr="004A7DEB">
        <w:rPr>
          <w:b/>
          <w:bCs/>
        </w:rPr>
        <w:t>Deployment Controls</w:t>
      </w:r>
      <w:r w:rsidR="00A061A9">
        <w:t>.</w:t>
      </w:r>
    </w:p>
    <w:p w14:paraId="27E649D0" w14:textId="126E2BEA" w:rsidR="00F925E1" w:rsidRPr="00311036" w:rsidRDefault="00F925E1" w:rsidP="007845D8">
      <w:pPr>
        <w:spacing w:line="276" w:lineRule="auto"/>
        <w:jc w:val="both"/>
        <w:rPr>
          <w:rFonts w:asciiTheme="minorHAnsi" w:hAnsiTheme="minorHAnsi" w:cstheme="minorBidi"/>
          <w:color w:val="auto"/>
          <w:sz w:val="22"/>
          <w:szCs w:val="22"/>
        </w:rPr>
      </w:pPr>
    </w:p>
    <w:p w14:paraId="4893EE5E" w14:textId="77777777" w:rsidR="008248CE" w:rsidRPr="008248CE" w:rsidRDefault="008248CE" w:rsidP="008248CE">
      <w:pPr>
        <w:pStyle w:val="Heading1"/>
      </w:pPr>
      <w:bookmarkStart w:id="52" w:name="_Toc214870539"/>
      <w:r w:rsidRPr="008248CE">
        <w:t>Clinical Safety Officer Recommendations</w:t>
      </w:r>
      <w:bookmarkEnd w:id="52"/>
    </w:p>
    <w:p w14:paraId="651A7886" w14:textId="77777777" w:rsidR="00976E64" w:rsidRPr="009F15AD" w:rsidRDefault="00976E64" w:rsidP="00976E64">
      <w:pPr>
        <w:spacing w:after="160" w:line="278" w:lineRule="auto"/>
      </w:pPr>
      <w:r w:rsidRPr="009F15AD">
        <w:t>This section outlines the professional recommendations of the Clinical Safety Officer (CSO) based on the review of evidence compiled for the National Image Registry (NIR) under the DCB 0129 standard. These recommendations are intended to ensure that clinical safety is maintained across both the ongoing national development of the NIR and its deployment within NHS organisations. They are divided into two parts: (1) recommendations for the NIR Project Team, who are responsible for maintaining compliance during continued system evolution, and (2) deployment controls applicable to NHS organisations connecting to NIR in accordance with DCB 0160.</w:t>
      </w:r>
    </w:p>
    <w:p w14:paraId="50822756" w14:textId="6D0CE42B" w:rsidR="009E359A" w:rsidRDefault="00976E64" w:rsidP="00976E64">
      <w:pPr>
        <w:spacing w:line="276" w:lineRule="auto"/>
        <w:jc w:val="both"/>
        <w:rPr>
          <w:rFonts w:asciiTheme="minorHAnsi" w:hAnsiTheme="minorHAnsi" w:cstheme="minorHAnsi"/>
          <w:color w:val="auto"/>
          <w:sz w:val="22"/>
          <w:szCs w:val="22"/>
        </w:rPr>
      </w:pPr>
      <w:r w:rsidRPr="009F15AD">
        <w:t xml:space="preserve">The recommendations ensure that the established safety management framework remains active, traceable, and proportionate as the NIR progresses through future </w:t>
      </w:r>
      <w:r w:rsidR="0088086A">
        <w:t xml:space="preserve">iterations </w:t>
      </w:r>
      <w:r w:rsidRPr="009F15AD">
        <w:t>of implementation and integration.</w:t>
      </w:r>
    </w:p>
    <w:p w14:paraId="46E69D2B" w14:textId="179ABFAA" w:rsidR="00EF0C87" w:rsidRPr="00BD7FB4" w:rsidRDefault="00EF0C87" w:rsidP="008248CE">
      <w:pPr>
        <w:spacing w:line="276" w:lineRule="auto"/>
        <w:jc w:val="both"/>
        <w:rPr>
          <w:rFonts w:asciiTheme="minorHAnsi" w:hAnsiTheme="minorHAnsi" w:cstheme="minorHAnsi"/>
          <w:color w:val="auto"/>
          <w:sz w:val="22"/>
          <w:szCs w:val="22"/>
        </w:rPr>
      </w:pPr>
    </w:p>
    <w:p w14:paraId="73E1834D" w14:textId="3783E812" w:rsidR="008248CE" w:rsidRDefault="008248CE" w:rsidP="00105D26">
      <w:pPr>
        <w:pStyle w:val="Heading2"/>
      </w:pPr>
      <w:bookmarkStart w:id="53" w:name="_Toc95981430"/>
      <w:bookmarkStart w:id="54" w:name="_Toc97223514"/>
      <w:bookmarkStart w:id="55" w:name="_Toc97634011"/>
      <w:bookmarkStart w:id="56" w:name="_Toc106289952"/>
      <w:bookmarkStart w:id="57" w:name="_Toc214870540"/>
      <w:r w:rsidRPr="00BD7FB4">
        <w:t xml:space="preserve">Recommendations </w:t>
      </w:r>
      <w:r w:rsidR="00B746F6">
        <w:t>for</w:t>
      </w:r>
      <w:r w:rsidRPr="00BD7FB4">
        <w:t xml:space="preserve"> </w:t>
      </w:r>
      <w:bookmarkEnd w:id="53"/>
      <w:bookmarkEnd w:id="54"/>
      <w:bookmarkEnd w:id="55"/>
      <w:bookmarkEnd w:id="56"/>
      <w:r w:rsidR="008C4121">
        <w:t>N</w:t>
      </w:r>
      <w:r w:rsidR="00B746F6">
        <w:t>IR</w:t>
      </w:r>
      <w:r w:rsidR="008C4121">
        <w:t xml:space="preserve"> </w:t>
      </w:r>
      <w:r w:rsidR="00B746F6">
        <w:t>Project</w:t>
      </w:r>
      <w:bookmarkEnd w:id="57"/>
    </w:p>
    <w:p w14:paraId="4C765416" w14:textId="77777777" w:rsidR="00047C7E" w:rsidRPr="009F15AD" w:rsidRDefault="00047C7E" w:rsidP="00047C7E">
      <w:pPr>
        <w:spacing w:after="160" w:line="278" w:lineRule="auto"/>
      </w:pPr>
      <w:r w:rsidRPr="009F15AD">
        <w:t>To maintain safe practice and continued compliance with NHS clinical safety standards, the NIR Project Team should:</w:t>
      </w:r>
    </w:p>
    <w:p w14:paraId="7284A868" w14:textId="75FC6EAF" w:rsidR="00047C7E" w:rsidRPr="009F15AD" w:rsidRDefault="00047C7E" w:rsidP="0068498D">
      <w:pPr>
        <w:spacing w:after="160" w:line="278" w:lineRule="auto"/>
        <w:textboxTightWrap w:val="none"/>
      </w:pPr>
      <w:r w:rsidRPr="009F15AD">
        <w:rPr>
          <w:b/>
          <w:bCs/>
        </w:rPr>
        <w:t>Maintain Ongoing DCB 0129 Compliance</w:t>
      </w:r>
      <w:r w:rsidRPr="009F15AD">
        <w:br/>
        <w:t xml:space="preserve">Ensure the DCB 0129 Clinical Safety Case and associated hazard log are reviewed and updated as new NIR </w:t>
      </w:r>
      <w:r w:rsidR="0088086A">
        <w:t>iterations</w:t>
      </w:r>
      <w:r w:rsidRPr="009F15AD">
        <w:t xml:space="preserve"> are introduced or material system changes occur. Each </w:t>
      </w:r>
      <w:r w:rsidR="0088086A">
        <w:t>iteration</w:t>
      </w:r>
      <w:r w:rsidRPr="009F15AD">
        <w:t xml:space="preserve"> should undergo a formal safety assessment and CSO approval prior to go-live.</w:t>
      </w:r>
    </w:p>
    <w:p w14:paraId="663D8482" w14:textId="77777777" w:rsidR="00047C7E" w:rsidRPr="009F15AD" w:rsidRDefault="00047C7E" w:rsidP="0068498D">
      <w:pPr>
        <w:spacing w:after="160" w:line="278" w:lineRule="auto"/>
        <w:textboxTightWrap w:val="none"/>
      </w:pPr>
      <w:r w:rsidRPr="009F15AD">
        <w:rPr>
          <w:b/>
          <w:bCs/>
        </w:rPr>
        <w:t>Integrate DCB 0160 Safety Documentation into Deployment Activities</w:t>
      </w:r>
      <w:r w:rsidRPr="009F15AD">
        <w:br/>
        <w:t>Ensure that completion and review of DCB 0160-conforming safety documentation form part of the supplier and organisational onboarding sign-off process. This will demonstrate that local deployments meet the required assurance level and that clinical safety responsibilities are appropriately shared between NHS England and integrating organisations.</w:t>
      </w:r>
    </w:p>
    <w:p w14:paraId="61114A43" w14:textId="331327ED" w:rsidR="00047C7E" w:rsidRPr="009F15AD" w:rsidRDefault="00047C7E" w:rsidP="0068498D">
      <w:pPr>
        <w:spacing w:after="160" w:line="278" w:lineRule="auto"/>
        <w:textboxTightWrap w:val="none"/>
      </w:pPr>
      <w:r w:rsidRPr="009F15AD">
        <w:rPr>
          <w:b/>
          <w:bCs/>
        </w:rPr>
        <w:t>Sustain Continuous Clinical Safety Governance</w:t>
      </w:r>
      <w:r w:rsidRPr="009F15AD">
        <w:br/>
        <w:t xml:space="preserve">Retain the active oversight of the Clinical Safety Officer throughout programme delivery and subsequent operational </w:t>
      </w:r>
      <w:r w:rsidR="0088086A">
        <w:t>iteration</w:t>
      </w:r>
      <w:r w:rsidRPr="009F15AD">
        <w:t>. Any incidents, near misses, or significant design changes must trigger a review of the safety case and risk controls to confirm that residual risk remains ALARP.</w:t>
      </w:r>
    </w:p>
    <w:p w14:paraId="6F5AE0C7" w14:textId="77777777" w:rsidR="00047C7E" w:rsidRDefault="00047C7E" w:rsidP="0068498D">
      <w:pPr>
        <w:spacing w:after="160" w:line="278" w:lineRule="auto"/>
        <w:textboxTightWrap w:val="none"/>
      </w:pPr>
      <w:r w:rsidRPr="009F15AD">
        <w:rPr>
          <w:b/>
          <w:bCs/>
        </w:rPr>
        <w:t>Ensure Alignment Between National and Local Safety Artefacts</w:t>
      </w:r>
      <w:r w:rsidRPr="009F15AD">
        <w:br/>
        <w:t xml:space="preserve">Maintain consistency between the NIR DCB 0129 safety case and the DCB 0160 safety </w:t>
      </w:r>
      <w:r>
        <w:t>Recommendations for</w:t>
      </w:r>
      <w:r w:rsidRPr="009F15AD">
        <w:t xml:space="preserve"> local implementing organisations, ensuring traceability between identified hazards, mitigations, and deployment recommendations.</w:t>
      </w:r>
    </w:p>
    <w:p w14:paraId="25DA3776" w14:textId="77777777" w:rsidR="0016082B" w:rsidRPr="0016082B" w:rsidRDefault="0016082B" w:rsidP="0068498D">
      <w:pPr>
        <w:spacing w:after="160" w:line="278" w:lineRule="auto"/>
        <w:textboxTightWrap w:val="none"/>
        <w:rPr>
          <w:b/>
          <w:bCs/>
        </w:rPr>
      </w:pPr>
      <w:r w:rsidRPr="0016082B">
        <w:rPr>
          <w:b/>
          <w:bCs/>
        </w:rPr>
        <w:t>Private Beta Scale</w:t>
      </w:r>
    </w:p>
    <w:p w14:paraId="27A5CB8D" w14:textId="60009F45" w:rsidR="00DC1281" w:rsidRPr="009F15AD" w:rsidRDefault="0016082B" w:rsidP="0068498D">
      <w:pPr>
        <w:spacing w:after="160" w:line="278" w:lineRule="auto"/>
        <w:textboxTightWrap w:val="none"/>
      </w:pPr>
      <w:r w:rsidRPr="005F3C38">
        <w:t xml:space="preserve">The NIR programme has set a project limit of onboarding </w:t>
      </w:r>
      <w:r w:rsidR="00DC1281" w:rsidRPr="005F3C38">
        <w:t xml:space="preserve">with a limited number of early-adopter </w:t>
      </w:r>
      <w:r w:rsidR="000B4F22">
        <w:t>Providers / Organisations</w:t>
      </w:r>
      <w:r w:rsidR="000B4F22">
        <w:t xml:space="preserve"> </w:t>
      </w:r>
      <w:r w:rsidR="00DC1281" w:rsidRPr="005F3C38">
        <w:t>selected based on technical readiness and governance maturity. The Private Beta cohort is not intended to represent the full scale of deployment, and subsequent onboarding is expected to expand to individual Trust-level integrations. The</w:t>
      </w:r>
      <w:r w:rsidRPr="005F3C38">
        <w:t xml:space="preserve"> NHS Clinical Safety Group is informed of th</w:t>
      </w:r>
      <w:r w:rsidR="00DC1281" w:rsidRPr="005F3C38">
        <w:t xml:space="preserve">e number of organisations onboarding to 50, </w:t>
      </w:r>
      <w:r w:rsidRPr="005F3C38">
        <w:t>to provide assurance that the scope of Private Beta deployment</w:t>
      </w:r>
      <w:r w:rsidR="00DC1281" w:rsidRPr="005F3C38">
        <w:t>, with safety assurance maintained through defined onboarding guardrails and DCB0160 requirements.</w:t>
      </w:r>
    </w:p>
    <w:p w14:paraId="0C46A4A2" w14:textId="13981550" w:rsidR="00B746F6" w:rsidRPr="00B746F6" w:rsidRDefault="00B746F6" w:rsidP="009E359A"/>
    <w:p w14:paraId="2D771962" w14:textId="77777777" w:rsidR="008248CE" w:rsidRPr="00BD7FB4" w:rsidRDefault="008248CE" w:rsidP="00105D26">
      <w:pPr>
        <w:pStyle w:val="Heading2"/>
      </w:pPr>
      <w:bookmarkStart w:id="58" w:name="_Toc214870541"/>
      <w:r w:rsidRPr="00BD7FB4">
        <w:t>Deployment Controls</w:t>
      </w:r>
      <w:bookmarkEnd w:id="58"/>
    </w:p>
    <w:p w14:paraId="00206C42" w14:textId="07D0827B" w:rsidR="00EF0C87" w:rsidRPr="005F3C38" w:rsidRDefault="00EF0C87" w:rsidP="005F3C38">
      <w:pPr>
        <w:spacing w:after="0" w:line="276" w:lineRule="auto"/>
        <w:jc w:val="both"/>
        <w:rPr>
          <w:color w:val="auto"/>
        </w:rPr>
      </w:pPr>
      <w:r w:rsidRPr="005F3C38">
        <w:rPr>
          <w:color w:val="auto"/>
        </w:rPr>
        <w:t>Deployment of the National Image Registry (NIR) requires coordinated management of clinical and operational risks identified through the DCB 0129 hazard analysis. These risks are grouped into five domains reflecting the system’s federated architecture, operational governance, and supplier assurance framework. The resulting recommendations define the controls that must be maintained during deployment and live operation and are indexed to supplier compliance evidence under DCB 0160 and the NHS England Digital Onboarding Process.</w:t>
      </w:r>
      <w:r w:rsidR="00B379F6" w:rsidRPr="005F3C38">
        <w:rPr>
          <w:color w:val="auto"/>
        </w:rPr>
        <w:t xml:space="preserve"> The following is a summary of the Recommendations and Appendi</w:t>
      </w:r>
      <w:r w:rsidR="00CD75BC" w:rsidRPr="005F3C38">
        <w:rPr>
          <w:color w:val="auto"/>
        </w:rPr>
        <w:t xml:space="preserve">x </w:t>
      </w:r>
      <w:r w:rsidR="00656C7F" w:rsidRPr="005F3C38">
        <w:rPr>
          <w:color w:val="auto"/>
        </w:rPr>
        <w:t>B</w:t>
      </w:r>
      <w:r w:rsidR="00CD75BC" w:rsidRPr="005F3C38">
        <w:rPr>
          <w:color w:val="auto"/>
        </w:rPr>
        <w:t xml:space="preserve"> contains the </w:t>
      </w:r>
      <w:r w:rsidR="00352E94" w:rsidRPr="005F3C38">
        <w:rPr>
          <w:color w:val="auto"/>
        </w:rPr>
        <w:t>detailed table.</w:t>
      </w:r>
    </w:p>
    <w:p w14:paraId="69A31E2D" w14:textId="4420A1C7" w:rsidR="00EF0C87" w:rsidRPr="005F3C38" w:rsidRDefault="00EF0C87" w:rsidP="005F3C38">
      <w:pPr>
        <w:spacing w:after="0" w:line="276" w:lineRule="auto"/>
        <w:jc w:val="both"/>
        <w:rPr>
          <w:color w:val="auto"/>
        </w:rPr>
      </w:pPr>
      <w:r w:rsidRPr="005F3C38">
        <w:rPr>
          <w:b/>
          <w:bCs/>
          <w:color w:val="auto"/>
        </w:rPr>
        <w:lastRenderedPageBreak/>
        <w:t>Availability and Retrieval Failures</w:t>
      </w:r>
      <w:r w:rsidR="00B379F6" w:rsidRPr="005F3C38">
        <w:rPr>
          <w:b/>
          <w:bCs/>
          <w:color w:val="auto"/>
        </w:rPr>
        <w:t>:</w:t>
      </w:r>
      <w:r w:rsidRPr="005F3C38">
        <w:rPr>
          <w:color w:val="auto"/>
        </w:rPr>
        <w:t xml:space="preserve"> Controls focus on maintaining system uptime, ensuring complete image retrieval, and managing network dependencies. PACS/VNA gateways are monitored continuously, automated failover and retry logic are implemented, and local SOPs define fallback procedures and escalation routes. These measures prevent clinical delay or data loss during service interruptions.</w:t>
      </w:r>
    </w:p>
    <w:p w14:paraId="1AE0BEC4" w14:textId="1D7E52AE" w:rsidR="00EF0C87" w:rsidRPr="005F3C38" w:rsidRDefault="00EF0C87" w:rsidP="005F3C38">
      <w:pPr>
        <w:spacing w:after="0" w:line="276" w:lineRule="auto"/>
        <w:jc w:val="both"/>
        <w:rPr>
          <w:color w:val="auto"/>
        </w:rPr>
      </w:pPr>
      <w:r w:rsidRPr="005F3C38">
        <w:rPr>
          <w:b/>
          <w:bCs/>
          <w:color w:val="auto"/>
        </w:rPr>
        <w:t>Data Quality and Patient Identification Errors</w:t>
      </w:r>
      <w:r w:rsidR="00B379F6" w:rsidRPr="005F3C38">
        <w:rPr>
          <w:b/>
          <w:bCs/>
          <w:color w:val="auto"/>
        </w:rPr>
        <w:t>:</w:t>
      </w:r>
      <w:r w:rsidRPr="005F3C38">
        <w:rPr>
          <w:color w:val="auto"/>
        </w:rPr>
        <w:t xml:space="preserve"> Risks are mitigated through strict metadata validation, patient identity verification, and audit trails ensuring data provenance. Connected systems must validate all metadata against IHE XDS and XCA standards and confirm patient identifiers before data registration. Periodic audits confirm that the “single source of truth” principle is maintained.</w:t>
      </w:r>
    </w:p>
    <w:p w14:paraId="031B42C3" w14:textId="0A8D499B" w:rsidR="00EF0C87" w:rsidRPr="005F3C38" w:rsidRDefault="00EF0C87" w:rsidP="005F3C38">
      <w:pPr>
        <w:spacing w:after="0" w:line="276" w:lineRule="auto"/>
        <w:jc w:val="both"/>
        <w:rPr>
          <w:color w:val="auto"/>
        </w:rPr>
      </w:pPr>
      <w:r w:rsidRPr="005F3C38">
        <w:rPr>
          <w:b/>
          <w:bCs/>
          <w:color w:val="auto"/>
        </w:rPr>
        <w:t>Security, Privacy, and Access Control Failures</w:t>
      </w:r>
      <w:r w:rsidR="00B379F6" w:rsidRPr="005F3C38">
        <w:rPr>
          <w:b/>
          <w:bCs/>
          <w:color w:val="auto"/>
        </w:rPr>
        <w:t>:</w:t>
      </w:r>
      <w:r w:rsidRPr="005F3C38">
        <w:rPr>
          <w:color w:val="auto"/>
        </w:rPr>
        <w:t xml:space="preserve"> The NIR employs NHS England’s Zero Trust security model. Access is managed through federated NHS Identity authentication, role-based permissions, and full audit logging. All data exchanges use TLS-encrypted channels with certificate lifecycle management and incident response aligned to NHS Cyber Security guidance.</w:t>
      </w:r>
    </w:p>
    <w:p w14:paraId="0225EFF7" w14:textId="77777777" w:rsidR="00EF0C87" w:rsidRPr="005F3C38" w:rsidRDefault="00EF0C87" w:rsidP="005F3C38">
      <w:pPr>
        <w:spacing w:after="0" w:line="276" w:lineRule="auto"/>
        <w:jc w:val="both"/>
        <w:rPr>
          <w:color w:val="auto"/>
        </w:rPr>
      </w:pPr>
      <w:r w:rsidRPr="005F3C38">
        <w:rPr>
          <w:color w:val="auto"/>
        </w:rPr>
        <w:t>Governance and Operational Risks – Clinical safety governance is embedded within local and national structures. Each trust must appoint a Clinical Safety Officer, maintain clear escalation routes, and conduct regular incident reviews and readiness exercises. Training ensures that staff understand their responsibilities in the event of system failure or safety event.</w:t>
      </w:r>
    </w:p>
    <w:p w14:paraId="5DC0D97D" w14:textId="123696FC" w:rsidR="00EF0C87" w:rsidRPr="005F3C38" w:rsidRDefault="00EF0C87" w:rsidP="005F3C38">
      <w:pPr>
        <w:spacing w:after="0" w:line="276" w:lineRule="auto"/>
        <w:jc w:val="both"/>
        <w:rPr>
          <w:color w:val="auto"/>
        </w:rPr>
      </w:pPr>
      <w:r w:rsidRPr="005F3C38">
        <w:rPr>
          <w:b/>
          <w:bCs/>
          <w:color w:val="auto"/>
        </w:rPr>
        <w:t>Interoperability and Protocol Translation Risks</w:t>
      </w:r>
      <w:r w:rsidR="00352E94" w:rsidRPr="005F3C38">
        <w:rPr>
          <w:b/>
          <w:bCs/>
          <w:color w:val="auto"/>
        </w:rPr>
        <w:t>:</w:t>
      </w:r>
      <w:r w:rsidR="00352E94" w:rsidRPr="005F3C38">
        <w:rPr>
          <w:color w:val="auto"/>
        </w:rPr>
        <w:t xml:space="preserve"> </w:t>
      </w:r>
      <w:r w:rsidRPr="005F3C38">
        <w:rPr>
          <w:color w:val="auto"/>
        </w:rPr>
        <w:t>Supplier systems must demonstrate conformance with IHE XDS, XCA, and emerging FHIR API standards through the Digital Onboarding Process. Continuous interoperability monitoring ensures consistent message translation and identifies any latency or errors in cross-vendor communication.</w:t>
      </w:r>
    </w:p>
    <w:p w14:paraId="1A5C2BFB" w14:textId="69FCC129" w:rsidR="005F3C38" w:rsidRPr="005F3C38" w:rsidRDefault="005F3C38" w:rsidP="005F3C38">
      <w:pPr>
        <w:spacing w:after="0" w:line="276" w:lineRule="auto"/>
        <w:jc w:val="both"/>
        <w:rPr>
          <w:color w:val="auto"/>
        </w:rPr>
      </w:pPr>
      <w:r w:rsidRPr="005F3C38">
        <w:t>This includes controls relating to HCID exclusion configuration and monitoring (HAZ011), ensuring completeness of imaging retrieval across federated networks.</w:t>
      </w:r>
    </w:p>
    <w:p w14:paraId="5B85BADB" w14:textId="4288EF96" w:rsidR="00044CCB" w:rsidRDefault="00352E94" w:rsidP="005F3C38">
      <w:pPr>
        <w:spacing w:after="0" w:line="276" w:lineRule="auto"/>
        <w:jc w:val="both"/>
        <w:rPr>
          <w:color w:val="auto"/>
        </w:rPr>
      </w:pPr>
      <w:r w:rsidRPr="005F3C38">
        <w:rPr>
          <w:color w:val="auto"/>
        </w:rPr>
        <w:t>T</w:t>
      </w:r>
      <w:r w:rsidR="00EF0C87" w:rsidRPr="005F3C38">
        <w:rPr>
          <w:color w:val="auto"/>
        </w:rPr>
        <w:t>hese controls ensure that all NIR deployments apply consistent, verifiable safety measures that keep residual risk As Low As Reasonably Practicable (ALARP). Each recommendation is traceable to its originating DCB 0129 hazard, providing a clear line of evidence between system design, supplier assurance, and safe clinical operation.</w:t>
      </w:r>
    </w:p>
    <w:p w14:paraId="6AEB355D" w14:textId="5AF86B11" w:rsidR="007F3D9D" w:rsidRPr="007F3D9D" w:rsidRDefault="007F3D9D" w:rsidP="007F3D9D">
      <w:pPr>
        <w:spacing w:after="0" w:line="276" w:lineRule="auto"/>
      </w:pPr>
      <w:r w:rsidRPr="007F3D9D">
        <w:rPr>
          <w:highlight w:val="yellow"/>
        </w:rPr>
        <w:t xml:space="preserve">Validation of HCID exclusion mappings during onboarding, including confirmation with providers and </w:t>
      </w:r>
      <w:r w:rsidR="000B4F22">
        <w:rPr>
          <w:highlight w:val="yellow"/>
        </w:rPr>
        <w:t>organisations</w:t>
      </w:r>
      <w:r w:rsidRPr="007F3D9D">
        <w:rPr>
          <w:highlight w:val="yellow"/>
        </w:rPr>
        <w:t xml:space="preserve">. </w:t>
      </w:r>
      <w:r w:rsidRPr="007F3D9D">
        <w:rPr>
          <w:highlight w:val="yellow"/>
        </w:rPr>
        <w:t>Local processes for notifying NIR programme of integration changes affecting HCID exclusion validity</w:t>
      </w:r>
      <w:r w:rsidRPr="007F3D9D">
        <w:rPr>
          <w:highlight w:val="yellow"/>
        </w:rPr>
        <w:t xml:space="preserve"> and m</w:t>
      </w:r>
      <w:r w:rsidRPr="007F3D9D">
        <w:rPr>
          <w:highlight w:val="yellow"/>
        </w:rPr>
        <w:t>onitoring of query completeness and escalation of suspected omissions</w:t>
      </w:r>
      <w:r w:rsidRPr="007F3D9D">
        <w:rPr>
          <w:highlight w:val="yellow"/>
        </w:rPr>
        <w:t>.</w:t>
      </w:r>
    </w:p>
    <w:p w14:paraId="2268758F" w14:textId="77777777" w:rsidR="00044CCB" w:rsidRPr="005F3C38" w:rsidRDefault="00044CCB" w:rsidP="005F3C38">
      <w:pPr>
        <w:spacing w:after="0" w:line="276" w:lineRule="auto"/>
        <w:jc w:val="both"/>
      </w:pPr>
    </w:p>
    <w:p w14:paraId="6F96E86D" w14:textId="2E4BD756" w:rsidR="009B1634" w:rsidRPr="00044CCB" w:rsidRDefault="00044CCB" w:rsidP="005F3C38">
      <w:pPr>
        <w:spacing w:after="0" w:line="276" w:lineRule="auto"/>
        <w:jc w:val="both"/>
        <w:rPr>
          <w:rFonts w:cs="Arial"/>
          <w:color w:val="005EB8" w:themeColor="accent1"/>
          <w:spacing w:val="-14"/>
          <w:kern w:val="28"/>
          <w:sz w:val="42"/>
          <w:szCs w:val="32"/>
          <w14:ligatures w14:val="standardContextual"/>
        </w:rPr>
      </w:pPr>
      <w:r w:rsidRPr="005F3C38">
        <w:t>Controls are in place to ensure preservation of diagnostic image integrity during retrieval and display, including adherence to DICOM standards and validation through supplier conformance testing.</w:t>
      </w:r>
      <w:r w:rsidR="009B1634" w:rsidRPr="00044CCB">
        <w:br w:type="page"/>
      </w:r>
    </w:p>
    <w:p w14:paraId="671D1CFA" w14:textId="5D1451E7" w:rsidR="00DB7FE3" w:rsidRPr="002A29E7" w:rsidRDefault="00E34B4D" w:rsidP="00886AFB">
      <w:pPr>
        <w:pStyle w:val="Heading1"/>
        <w:rPr>
          <w:rFonts w:asciiTheme="minorHAnsi" w:hAnsiTheme="minorHAnsi" w:cstheme="minorHAnsi"/>
        </w:rPr>
      </w:pPr>
      <w:bookmarkStart w:id="59" w:name="_Toc214870542"/>
      <w:r w:rsidRPr="002A29E7">
        <w:rPr>
          <w:rFonts w:asciiTheme="minorHAnsi" w:hAnsiTheme="minorHAnsi" w:cstheme="minorHAnsi"/>
        </w:rPr>
        <w:lastRenderedPageBreak/>
        <w:t>S</w:t>
      </w:r>
      <w:r w:rsidR="00DB7FE3" w:rsidRPr="002A29E7">
        <w:rPr>
          <w:rFonts w:asciiTheme="minorHAnsi" w:hAnsiTheme="minorHAnsi" w:cstheme="minorHAnsi"/>
        </w:rPr>
        <w:t>ummary Safety Statement</w:t>
      </w:r>
      <w:bookmarkEnd w:id="59"/>
    </w:p>
    <w:p w14:paraId="0A073286" w14:textId="2C71F240" w:rsidR="00071E72" w:rsidRPr="00071E72" w:rsidRDefault="0074306D" w:rsidP="00376403">
      <w:pPr>
        <w:pStyle w:val="NormalWeb"/>
        <w:spacing w:after="0" w:line="276" w:lineRule="auto"/>
        <w:rPr>
          <w:rFonts w:asciiTheme="minorHAnsi" w:hAnsiTheme="minorHAnsi" w:cstheme="minorHAnsi"/>
        </w:rPr>
      </w:pPr>
      <w:bookmarkStart w:id="60" w:name="_Toc214870543"/>
      <w:bookmarkStart w:id="61" w:name="_Toc104476662"/>
      <w:bookmarkEnd w:id="8"/>
      <w:r w:rsidRPr="00071E72">
        <w:rPr>
          <w:rFonts w:asciiTheme="minorHAnsi" w:hAnsiTheme="minorHAnsi" w:cstheme="minorHAnsi"/>
        </w:rPr>
        <w:t xml:space="preserve">As the ETHOS Clinical Safety Officer supporting the National Image Registry (NIR), I confirm that I have reviewed the design, development, hazard analysis, and risk control measures implemented for the system in accordance with the requirements of </w:t>
      </w:r>
      <w:r w:rsidRPr="00071E72">
        <w:rPr>
          <w:rStyle w:val="Strong"/>
          <w:rFonts w:cstheme="minorHAnsi"/>
          <w:b w:val="0"/>
          <w:bCs w:val="0"/>
        </w:rPr>
        <w:t>DCB0129: Clinical Risk Management – its Application in the Manufacture of Health IT Systems</w:t>
      </w:r>
      <w:r w:rsidRPr="00071E72">
        <w:rPr>
          <w:rFonts w:asciiTheme="minorHAnsi" w:hAnsiTheme="minorHAnsi" w:cstheme="minorHAnsi"/>
          <w:b/>
          <w:bCs/>
        </w:rPr>
        <w:t>.</w:t>
      </w:r>
      <w:r w:rsidR="00071E72" w:rsidRPr="00071E72">
        <w:rPr>
          <w:rFonts w:asciiTheme="minorHAnsi" w:hAnsiTheme="minorHAnsi" w:cstheme="minorHAnsi"/>
          <w:b/>
          <w:bCs/>
        </w:rPr>
        <w:t xml:space="preserve"> </w:t>
      </w:r>
      <w:r w:rsidRPr="00071E72">
        <w:rPr>
          <w:rFonts w:asciiTheme="minorHAnsi" w:hAnsiTheme="minorHAnsi" w:cstheme="minorHAnsi"/>
        </w:rPr>
        <w:t>Based on the evidence presented within this Clinical Safety Case Report, the supporting Hazard Log, and associated assurance activities, I am satisfie</w:t>
      </w:r>
      <w:r w:rsidR="00071E72" w:rsidRPr="00071E72">
        <w:rPr>
          <w:rFonts w:asciiTheme="minorHAnsi" w:hAnsiTheme="minorHAnsi" w:cstheme="minorHAnsi"/>
        </w:rPr>
        <w:t xml:space="preserve">d </w:t>
      </w:r>
      <w:r w:rsidR="00071E72" w:rsidRPr="00071E72">
        <w:rPr>
          <w:rFonts w:asciiTheme="minorHAnsi" w:hAnsiTheme="minorHAnsi" w:cstheme="minorHAnsi"/>
        </w:rPr>
        <w:t>in my capacity as Clinical Safety Officer that</w:t>
      </w:r>
      <w:r w:rsidR="00071E72">
        <w:rPr>
          <w:rFonts w:asciiTheme="minorHAnsi" w:hAnsiTheme="minorHAnsi" w:cstheme="minorHAnsi"/>
        </w:rPr>
        <w:t>:</w:t>
      </w:r>
    </w:p>
    <w:p w14:paraId="43D6C4AF" w14:textId="77777777" w:rsidR="0074306D" w:rsidRPr="0074306D" w:rsidRDefault="0074306D" w:rsidP="00376403">
      <w:pPr>
        <w:numPr>
          <w:ilvl w:val="0"/>
          <w:numId w:val="90"/>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The NIR has been developed in line with recognised clinical safety standards under DCB0129 </w:t>
      </w:r>
    </w:p>
    <w:p w14:paraId="21445880" w14:textId="77777777" w:rsidR="0074306D" w:rsidRPr="0074306D" w:rsidRDefault="0074306D" w:rsidP="00376403">
      <w:pPr>
        <w:numPr>
          <w:ilvl w:val="0"/>
          <w:numId w:val="90"/>
        </w:numPr>
        <w:spacing w:after="0" w:line="276" w:lineRule="auto"/>
        <w:textboxTightWrap w:val="none"/>
        <w:rPr>
          <w:rFonts w:asciiTheme="minorHAnsi" w:hAnsiTheme="minorHAnsi" w:cstheme="minorHAnsi"/>
        </w:rPr>
      </w:pPr>
      <w:r w:rsidRPr="0074306D">
        <w:rPr>
          <w:rFonts w:asciiTheme="minorHAnsi" w:hAnsiTheme="minorHAnsi" w:cstheme="minorHAnsi"/>
        </w:rPr>
        <w:t>All identified clinical hazards (</w:t>
      </w:r>
      <w:r w:rsidRPr="0074306D">
        <w:rPr>
          <w:rStyle w:val="Strong"/>
          <w:rFonts w:cstheme="minorHAnsi"/>
          <w:b w:val="0"/>
          <w:bCs w:val="0"/>
        </w:rPr>
        <w:t>HAZ001–HAZ011</w:t>
      </w:r>
      <w:r w:rsidRPr="0074306D">
        <w:rPr>
          <w:rFonts w:asciiTheme="minorHAnsi" w:hAnsiTheme="minorHAnsi" w:cstheme="minorHAnsi"/>
        </w:rPr>
        <w:t xml:space="preserve">) have been systematically identified, analysed, and controlled </w:t>
      </w:r>
    </w:p>
    <w:p w14:paraId="5603E1B1" w14:textId="77777777" w:rsidR="0074306D" w:rsidRPr="0074306D" w:rsidRDefault="0074306D" w:rsidP="00376403">
      <w:pPr>
        <w:numPr>
          <w:ilvl w:val="0"/>
          <w:numId w:val="90"/>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Residual clinical risks have been reduced to a level that is </w:t>
      </w:r>
      <w:r w:rsidRPr="0074306D">
        <w:rPr>
          <w:rStyle w:val="Strong"/>
          <w:rFonts w:cstheme="minorHAnsi"/>
          <w:b w:val="0"/>
          <w:bCs w:val="0"/>
        </w:rPr>
        <w:t>As Low As Reasonably Practicable (ALARP)</w:t>
      </w:r>
      <w:r w:rsidRPr="0074306D">
        <w:rPr>
          <w:rFonts w:asciiTheme="minorHAnsi" w:hAnsiTheme="minorHAnsi" w:cstheme="minorHAnsi"/>
        </w:rPr>
        <w:t xml:space="preserve"> within the defined scope of this assessment </w:t>
      </w:r>
    </w:p>
    <w:p w14:paraId="44FB6652" w14:textId="5C1D615E" w:rsidR="007F3D9D" w:rsidRPr="007F3D9D" w:rsidRDefault="0074306D" w:rsidP="007F3D9D">
      <w:pPr>
        <w:pStyle w:val="NormalWeb"/>
        <w:spacing w:after="0" w:line="276" w:lineRule="auto"/>
        <w:rPr>
          <w:rFonts w:asciiTheme="minorHAnsi" w:hAnsiTheme="minorHAnsi" w:cstheme="minorHAnsi"/>
        </w:rPr>
      </w:pPr>
      <w:r w:rsidRPr="007F3D9D">
        <w:rPr>
          <w:rFonts w:asciiTheme="minorHAnsi" w:hAnsiTheme="minorHAnsi" w:cstheme="minorHAnsi"/>
        </w:rPr>
        <w:t xml:space="preserve">A total of </w:t>
      </w:r>
      <w:r w:rsidRPr="007F3D9D">
        <w:rPr>
          <w:rStyle w:val="Strong"/>
          <w:rFonts w:cstheme="minorHAnsi"/>
          <w:b w:val="0"/>
          <w:bCs w:val="0"/>
        </w:rPr>
        <w:t>11 hazards</w:t>
      </w:r>
      <w:r w:rsidRPr="007F3D9D">
        <w:rPr>
          <w:rFonts w:asciiTheme="minorHAnsi" w:hAnsiTheme="minorHAnsi" w:cstheme="minorHAnsi"/>
        </w:rPr>
        <w:t xml:space="preserve"> have been identified</w:t>
      </w:r>
      <w:r w:rsidR="007F3D9D" w:rsidRPr="007F3D9D">
        <w:rPr>
          <w:rFonts w:asciiTheme="minorHAnsi" w:hAnsiTheme="minorHAnsi" w:cstheme="minorHAnsi"/>
        </w:rPr>
        <w:t xml:space="preserve"> </w:t>
      </w:r>
      <w:r w:rsidR="007F3D9D" w:rsidRPr="007F3D9D">
        <w:rPr>
          <w:rFonts w:asciiTheme="minorHAnsi" w:hAnsiTheme="minorHAnsi" w:cstheme="minorHAnsi"/>
          <w:color w:val="auto"/>
          <w:lang w:eastAsia="en-GB"/>
        </w:rPr>
        <w:t>under DCB0129</w:t>
      </w:r>
      <w:r w:rsidRPr="007F3D9D">
        <w:rPr>
          <w:rFonts w:asciiTheme="minorHAnsi" w:hAnsiTheme="minorHAnsi" w:cstheme="minorHAnsi"/>
        </w:rPr>
        <w:t>, each with defined mitigations and supporting verification evidence.</w:t>
      </w:r>
      <w:r w:rsidR="007F3D9D" w:rsidRPr="007F3D9D">
        <w:rPr>
          <w:rFonts w:asciiTheme="minorHAnsi" w:hAnsiTheme="minorHAnsi" w:cstheme="minorHAnsi"/>
        </w:rPr>
        <w:t xml:space="preserve"> </w:t>
      </w:r>
      <w:r w:rsidR="007F3D9D" w:rsidRPr="007F3D9D">
        <w:rPr>
          <w:rFonts w:asciiTheme="minorHAnsi" w:hAnsiTheme="minorHAnsi" w:cstheme="minorHAnsi"/>
          <w:color w:val="auto"/>
          <w:lang w:eastAsia="en-GB"/>
        </w:rPr>
        <w:t xml:space="preserve">HAZ011 was introduced in February </w:t>
      </w:r>
      <w:r w:rsidR="007F3D9D">
        <w:rPr>
          <w:rFonts w:asciiTheme="minorHAnsi" w:hAnsiTheme="minorHAnsi" w:cstheme="minorHAnsi"/>
          <w:color w:val="auto"/>
          <w:lang w:eastAsia="en-GB"/>
        </w:rPr>
        <w:t>2026, following a design review, to capture risks associated with HCID query restrictions.</w:t>
      </w:r>
      <w:r w:rsidR="007F3D9D" w:rsidRPr="007F3D9D">
        <w:rPr>
          <w:rFonts w:asciiTheme="minorHAnsi" w:hAnsiTheme="minorHAnsi" w:cstheme="minorHAnsi"/>
          <w:color w:val="auto"/>
          <w:lang w:eastAsia="en-GB"/>
        </w:rPr>
        <w:t xml:space="preserve"> </w:t>
      </w:r>
      <w:r w:rsidR="007F3D9D" w:rsidRPr="007F3D9D">
        <w:rPr>
          <w:rFonts w:asciiTheme="minorHAnsi" w:hAnsiTheme="minorHAnsi" w:cstheme="minorHAnsi"/>
        </w:rPr>
        <w:t xml:space="preserve">All hazards carry residual risk ratings of </w:t>
      </w:r>
      <w:r w:rsidR="007F3D9D" w:rsidRPr="007F3D9D">
        <w:rPr>
          <w:rStyle w:val="Strong"/>
          <w:rFonts w:cstheme="minorHAnsi"/>
          <w:b w:val="0"/>
          <w:bCs w:val="0"/>
        </w:rPr>
        <w:t>2 or lower</w:t>
      </w:r>
      <w:r w:rsidR="007F3D9D" w:rsidRPr="007F3D9D">
        <w:rPr>
          <w:rFonts w:asciiTheme="minorHAnsi" w:hAnsiTheme="minorHAnsi" w:cstheme="minorHAnsi"/>
          <w:b/>
          <w:bCs/>
        </w:rPr>
        <w:t>,</w:t>
      </w:r>
      <w:r w:rsidR="007F3D9D" w:rsidRPr="007F3D9D">
        <w:rPr>
          <w:rFonts w:asciiTheme="minorHAnsi" w:hAnsiTheme="minorHAnsi" w:cstheme="minorHAnsi"/>
        </w:rPr>
        <w:t xml:space="preserve"> and no hazards remain at a medium or high level of residual risk.</w:t>
      </w:r>
      <w:r w:rsidR="007F3D9D">
        <w:rPr>
          <w:rFonts w:asciiTheme="minorHAnsi" w:hAnsiTheme="minorHAnsi" w:cstheme="minorHAnsi"/>
        </w:rPr>
        <w:t xml:space="preserve"> </w:t>
      </w:r>
      <w:r w:rsidR="007F3D9D" w:rsidRPr="007F3D9D">
        <w:rPr>
          <w:rFonts w:asciiTheme="minorHAnsi" w:hAnsiTheme="minorHAnsi" w:cstheme="minorHAnsi"/>
          <w:color w:val="auto"/>
          <w:lang w:eastAsia="en-GB"/>
        </w:rPr>
        <w:t>Separate</w:t>
      </w:r>
      <w:r w:rsidR="007F3D9D" w:rsidRPr="007F3D9D">
        <w:rPr>
          <w:rFonts w:asciiTheme="minorHAnsi" w:hAnsiTheme="minorHAnsi" w:cstheme="minorHAnsi"/>
          <w:color w:val="auto"/>
          <w:lang w:eastAsia="en-GB"/>
        </w:rPr>
        <w:t>ly</w:t>
      </w:r>
      <w:r w:rsidR="007F3D9D" w:rsidRPr="007F3D9D">
        <w:rPr>
          <w:rFonts w:asciiTheme="minorHAnsi" w:hAnsiTheme="minorHAnsi" w:cstheme="minorHAnsi"/>
          <w:color w:val="auto"/>
          <w:lang w:eastAsia="en-GB"/>
        </w:rPr>
        <w:t>, a DCB0160 deployment hazard set (DHAZ012–DHAZ021) has been defined to support safe onboarding and local implementation.</w:t>
      </w:r>
    </w:p>
    <w:p w14:paraId="628B1924" w14:textId="77777777" w:rsidR="007F3D9D" w:rsidRDefault="007F3D9D" w:rsidP="00376403">
      <w:pPr>
        <w:pStyle w:val="NormalWeb"/>
        <w:spacing w:after="0" w:line="276" w:lineRule="auto"/>
        <w:rPr>
          <w:rFonts w:asciiTheme="minorHAnsi" w:hAnsiTheme="minorHAnsi" w:cstheme="minorHAnsi"/>
        </w:rPr>
      </w:pPr>
    </w:p>
    <w:p w14:paraId="18A2DEE7" w14:textId="77777777"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The safety case demonstrates that the NIR, as a federated discovery and retrieval service for imaging data, does not introduce unacceptable clinical risk when used as intended. The system design—based on standards-driven interoperability, supplier conformance, and safety-by-design principles—provides a robust and controlled environment for safe operation.</w:t>
      </w:r>
    </w:p>
    <w:p w14:paraId="3B4E125E" w14:textId="77777777"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This assessment has included review of:</w:t>
      </w:r>
    </w:p>
    <w:p w14:paraId="3D2380CE" w14:textId="77777777" w:rsidR="0074306D" w:rsidRPr="0074306D" w:rsidRDefault="0074306D" w:rsidP="00376403">
      <w:pPr>
        <w:numPr>
          <w:ilvl w:val="0"/>
          <w:numId w:val="91"/>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System design and architecture </w:t>
      </w:r>
    </w:p>
    <w:p w14:paraId="161144D1" w14:textId="77777777" w:rsidR="0074306D" w:rsidRPr="0074306D" w:rsidRDefault="0074306D" w:rsidP="00376403">
      <w:pPr>
        <w:numPr>
          <w:ilvl w:val="0"/>
          <w:numId w:val="91"/>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Intended use and clinical workflows </w:t>
      </w:r>
    </w:p>
    <w:p w14:paraId="2F89C192" w14:textId="77777777" w:rsidR="0074306D" w:rsidRPr="0074306D" w:rsidRDefault="0074306D" w:rsidP="00376403">
      <w:pPr>
        <w:numPr>
          <w:ilvl w:val="0"/>
          <w:numId w:val="91"/>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Interoperability model (including XCA-based discovery and retrieval) </w:t>
      </w:r>
    </w:p>
    <w:p w14:paraId="52D3C7FE" w14:textId="77777777" w:rsidR="0074306D" w:rsidRPr="0074306D" w:rsidRDefault="0074306D" w:rsidP="00376403">
      <w:pPr>
        <w:numPr>
          <w:ilvl w:val="0"/>
          <w:numId w:val="91"/>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Supporting governance and operational processes </w:t>
      </w:r>
    </w:p>
    <w:p w14:paraId="21AC3FD4" w14:textId="77777777"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Ongoing safety will be maintained through:</w:t>
      </w:r>
    </w:p>
    <w:p w14:paraId="681978B6" w14:textId="77777777" w:rsidR="0074306D" w:rsidRPr="0074306D" w:rsidRDefault="0074306D" w:rsidP="00376403">
      <w:pPr>
        <w:numPr>
          <w:ilvl w:val="0"/>
          <w:numId w:val="92"/>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Continuous monitoring and observability </w:t>
      </w:r>
    </w:p>
    <w:p w14:paraId="3438D002" w14:textId="77777777" w:rsidR="0074306D" w:rsidRPr="0074306D" w:rsidRDefault="0074306D" w:rsidP="00376403">
      <w:pPr>
        <w:numPr>
          <w:ilvl w:val="0"/>
          <w:numId w:val="92"/>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Incident management and escalation processes </w:t>
      </w:r>
    </w:p>
    <w:p w14:paraId="0290BA2B" w14:textId="77777777" w:rsidR="0074306D" w:rsidRPr="0074306D" w:rsidRDefault="0074306D" w:rsidP="00376403">
      <w:pPr>
        <w:numPr>
          <w:ilvl w:val="0"/>
          <w:numId w:val="92"/>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Periodic review and update of the Hazard Log and safety documentation </w:t>
      </w:r>
    </w:p>
    <w:p w14:paraId="0542A425" w14:textId="77777777"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Clinical safety governance is embedded within the NIR Programme through an active Clinical Safety Officer function and supporting governance structures, ensuring continued compliance with national safety standards.</w:t>
      </w:r>
    </w:p>
    <w:p w14:paraId="7125E933" w14:textId="6988848B"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 xml:space="preserve">This safety case is scoped to </w:t>
      </w:r>
      <w:r w:rsidRPr="0074306D">
        <w:rPr>
          <w:rStyle w:val="Strong"/>
          <w:rFonts w:cstheme="minorHAnsi"/>
          <w:b w:val="0"/>
          <w:bCs w:val="0"/>
        </w:rPr>
        <w:t>DCB0129 (manufacturer responsibilities)</w:t>
      </w:r>
      <w:r w:rsidRPr="0074306D">
        <w:rPr>
          <w:rFonts w:asciiTheme="minorHAnsi" w:hAnsiTheme="minorHAnsi" w:cstheme="minorHAnsi"/>
          <w:b/>
          <w:bCs/>
        </w:rPr>
        <w:t>.</w:t>
      </w:r>
      <w:r>
        <w:rPr>
          <w:rFonts w:asciiTheme="minorHAnsi" w:hAnsiTheme="minorHAnsi" w:cstheme="minorHAnsi"/>
        </w:rPr>
        <w:t xml:space="preserve"> </w:t>
      </w:r>
      <w:r w:rsidRPr="0074306D">
        <w:rPr>
          <w:rFonts w:asciiTheme="minorHAnsi" w:hAnsiTheme="minorHAnsi" w:cstheme="minorHAnsi"/>
        </w:rPr>
        <w:t xml:space="preserve">Safe deployment and use of the NIR within clinical environments is dependent on the implementation of local controls under </w:t>
      </w:r>
      <w:r w:rsidRPr="0074306D">
        <w:rPr>
          <w:rStyle w:val="Strong"/>
          <w:rFonts w:cstheme="minorHAnsi"/>
          <w:b w:val="0"/>
          <w:bCs w:val="0"/>
        </w:rPr>
        <w:t>DCB0160</w:t>
      </w:r>
      <w:r w:rsidRPr="0074306D">
        <w:rPr>
          <w:rFonts w:asciiTheme="minorHAnsi" w:hAnsiTheme="minorHAnsi" w:cstheme="minorHAnsi"/>
          <w:b/>
          <w:bCs/>
        </w:rPr>
        <w:t xml:space="preserve"> </w:t>
      </w:r>
      <w:r w:rsidRPr="0074306D">
        <w:rPr>
          <w:rFonts w:asciiTheme="minorHAnsi" w:hAnsiTheme="minorHAnsi" w:cstheme="minorHAnsi"/>
        </w:rPr>
        <w:t>by each deploying organisation.</w:t>
      </w:r>
      <w:r>
        <w:rPr>
          <w:rFonts w:asciiTheme="minorHAnsi" w:hAnsiTheme="minorHAnsi" w:cstheme="minorHAnsi"/>
        </w:rPr>
        <w:t xml:space="preserve"> </w:t>
      </w:r>
      <w:r w:rsidRPr="0074306D">
        <w:rPr>
          <w:rFonts w:asciiTheme="minorHAnsi" w:hAnsiTheme="minorHAnsi" w:cstheme="minorHAnsi"/>
        </w:rPr>
        <w:t>In particular, safe deployment at scale is contingent upon:</w:t>
      </w:r>
    </w:p>
    <w:p w14:paraId="56703C64" w14:textId="77777777" w:rsidR="0074306D" w:rsidRPr="0074306D" w:rsidRDefault="0074306D" w:rsidP="00376403">
      <w:pPr>
        <w:numPr>
          <w:ilvl w:val="0"/>
          <w:numId w:val="93"/>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Completion of organisation-specific DCB0160 documentation (CSCR, Hazard Log, CRMP) </w:t>
      </w:r>
    </w:p>
    <w:p w14:paraId="2AC9B3B4" w14:textId="77777777" w:rsidR="0074306D" w:rsidRPr="0074306D" w:rsidRDefault="0074306D" w:rsidP="00376403">
      <w:pPr>
        <w:numPr>
          <w:ilvl w:val="0"/>
          <w:numId w:val="93"/>
        </w:numPr>
        <w:spacing w:after="0" w:line="276" w:lineRule="auto"/>
        <w:ind w:left="714" w:hanging="357"/>
        <w:textboxTightWrap w:val="none"/>
        <w:rPr>
          <w:rFonts w:asciiTheme="minorHAnsi" w:hAnsiTheme="minorHAnsi" w:cstheme="minorHAnsi"/>
        </w:rPr>
      </w:pPr>
      <w:r w:rsidRPr="0074306D">
        <w:rPr>
          <w:rFonts w:asciiTheme="minorHAnsi" w:hAnsiTheme="minorHAnsi" w:cstheme="minorHAnsi"/>
        </w:rPr>
        <w:t xml:space="preserve">Formal sign-off by an appropriately accredited Clinical Safety Officer within each organisation </w:t>
      </w:r>
    </w:p>
    <w:p w14:paraId="16FFBF09" w14:textId="77777777" w:rsidR="0074306D" w:rsidRPr="0074306D" w:rsidRDefault="0074306D" w:rsidP="00376403">
      <w:pPr>
        <w:numPr>
          <w:ilvl w:val="0"/>
          <w:numId w:val="93"/>
        </w:numPr>
        <w:spacing w:after="0" w:line="276" w:lineRule="auto"/>
        <w:textboxTightWrap w:val="none"/>
        <w:rPr>
          <w:rFonts w:asciiTheme="minorHAnsi" w:hAnsiTheme="minorHAnsi" w:cstheme="minorHAnsi"/>
        </w:rPr>
      </w:pPr>
      <w:r w:rsidRPr="0074306D">
        <w:rPr>
          <w:rFonts w:asciiTheme="minorHAnsi" w:hAnsiTheme="minorHAnsi" w:cstheme="minorHAnsi"/>
        </w:rPr>
        <w:lastRenderedPageBreak/>
        <w:t xml:space="preserve">Implementation of defined local operational controls (including training, RBAC, incident management, and fallback procedures) </w:t>
      </w:r>
    </w:p>
    <w:p w14:paraId="6C506A0C" w14:textId="77777777" w:rsidR="0074306D" w:rsidRPr="0074306D" w:rsidRDefault="0074306D" w:rsidP="00376403">
      <w:pPr>
        <w:numPr>
          <w:ilvl w:val="0"/>
          <w:numId w:val="93"/>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Completion of onboarding validation activities, including submission of the NIR Safety Form </w:t>
      </w:r>
    </w:p>
    <w:p w14:paraId="64014DE3" w14:textId="77777777" w:rsidR="0074306D" w:rsidRPr="0074306D" w:rsidRDefault="0074306D" w:rsidP="00376403">
      <w:pPr>
        <w:numPr>
          <w:ilvl w:val="0"/>
          <w:numId w:val="93"/>
        </w:numPr>
        <w:spacing w:after="0" w:line="276" w:lineRule="auto"/>
        <w:textboxTightWrap w:val="none"/>
        <w:rPr>
          <w:rFonts w:asciiTheme="minorHAnsi" w:hAnsiTheme="minorHAnsi" w:cstheme="minorHAnsi"/>
        </w:rPr>
      </w:pPr>
      <w:r w:rsidRPr="0074306D">
        <w:rPr>
          <w:rFonts w:asciiTheme="minorHAnsi" w:hAnsiTheme="minorHAnsi" w:cstheme="minorHAnsi"/>
        </w:rPr>
        <w:t xml:space="preserve">Review and approval through the NIR onboarding governance process prior to go-live </w:t>
      </w:r>
    </w:p>
    <w:p w14:paraId="2115DD27" w14:textId="77777777" w:rsidR="0074306D" w:rsidRPr="0074306D" w:rsidRDefault="0074306D" w:rsidP="00376403">
      <w:pPr>
        <w:pStyle w:val="NormalWeb"/>
        <w:spacing w:after="0" w:line="276" w:lineRule="auto"/>
        <w:rPr>
          <w:rFonts w:asciiTheme="minorHAnsi" w:hAnsiTheme="minorHAnsi" w:cstheme="minorHAnsi"/>
        </w:rPr>
      </w:pPr>
      <w:r w:rsidRPr="0074306D">
        <w:rPr>
          <w:rFonts w:asciiTheme="minorHAnsi" w:hAnsiTheme="minorHAnsi" w:cstheme="minorHAnsi"/>
        </w:rPr>
        <w:t>These controls ensure that residual risks identified at system level are appropriately managed within each local deployment context.</w:t>
      </w:r>
    </w:p>
    <w:p w14:paraId="5ED1D2EB" w14:textId="770EC6D0" w:rsidR="0074306D" w:rsidRPr="0074306D" w:rsidRDefault="0074306D" w:rsidP="00376403">
      <w:pPr>
        <w:spacing w:after="0" w:line="276" w:lineRule="auto"/>
        <w:rPr>
          <w:rFonts w:asciiTheme="minorHAnsi" w:hAnsiTheme="minorHAnsi" w:cstheme="minorHAnsi"/>
        </w:rPr>
      </w:pPr>
    </w:p>
    <w:p w14:paraId="2A59CFF1" w14:textId="77777777" w:rsidR="0074306D" w:rsidRPr="0074306D" w:rsidRDefault="0074306D" w:rsidP="00376403">
      <w:pPr>
        <w:pStyle w:val="NormalWeb"/>
        <w:spacing w:after="0" w:line="276" w:lineRule="auto"/>
        <w:rPr>
          <w:rFonts w:asciiTheme="minorHAnsi" w:hAnsiTheme="minorHAnsi" w:cstheme="minorHAnsi"/>
        </w:rPr>
      </w:pPr>
      <w:r w:rsidRPr="0074306D">
        <w:rPr>
          <w:rStyle w:val="Strong"/>
          <w:rFonts w:cstheme="minorHAnsi"/>
        </w:rPr>
        <w:t>Subject to the above conditions being met, I am satisfied that the NIR is clinically safe for deployment and use within its intended scope, and that the overall safety position is acceptable for progression to wider rollout.</w:t>
      </w:r>
    </w:p>
    <w:p w14:paraId="528B1629" w14:textId="2C55EA6B" w:rsidR="0074306D" w:rsidRPr="0074306D" w:rsidRDefault="0074306D" w:rsidP="0074306D">
      <w:pPr>
        <w:rPr>
          <w:rFonts w:asciiTheme="minorHAnsi" w:hAnsiTheme="minorHAnsi" w:cstheme="minorHAnsi"/>
        </w:rPr>
      </w:pPr>
    </w:p>
    <w:p w14:paraId="3CDDF2EB" w14:textId="77777777" w:rsidR="0074306D" w:rsidRPr="0074306D" w:rsidRDefault="0074306D" w:rsidP="00B3622E">
      <w:pPr>
        <w:pStyle w:val="Heading3"/>
      </w:pPr>
      <w:r w:rsidRPr="0074306D">
        <w:rPr>
          <w:rStyle w:val="Strong"/>
          <w:rFonts w:cstheme="minorHAnsi"/>
          <w:b w:val="0"/>
          <w:bCs w:val="0"/>
        </w:rPr>
        <w:t>Conditions of Safe Use</w:t>
      </w:r>
    </w:p>
    <w:p w14:paraId="29BCFAE9" w14:textId="77777777" w:rsidR="0074306D" w:rsidRP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 xml:space="preserve">NIR is a supplementary, pointer-based system and not a complete clinical record </w:t>
      </w:r>
    </w:p>
    <w:p w14:paraId="51F298CE" w14:textId="77777777" w:rsidR="0074306D" w:rsidRP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 xml:space="preserve">Absence of results within NIR does not confirm absence of imaging data </w:t>
      </w:r>
    </w:p>
    <w:p w14:paraId="62DD00B5" w14:textId="77777777" w:rsidR="0074306D" w:rsidRP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 xml:space="preserve">Users must follow defined local fallback procedures where results are incomplete or unavailable </w:t>
      </w:r>
    </w:p>
    <w:p w14:paraId="537112D8" w14:textId="77777777" w:rsidR="0074306D" w:rsidRP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 xml:space="preserve">Access must be governed through appropriate role-based access controls (RBAC) </w:t>
      </w:r>
    </w:p>
    <w:p w14:paraId="33ECC24F" w14:textId="77777777" w:rsidR="0074306D" w:rsidRP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 xml:space="preserve">Use must align with local SOPs, training, and clinical governance processes </w:t>
      </w:r>
    </w:p>
    <w:p w14:paraId="1CE72260" w14:textId="77777777" w:rsidR="0074306D" w:rsidRDefault="0074306D" w:rsidP="0074306D">
      <w:pPr>
        <w:numPr>
          <w:ilvl w:val="0"/>
          <w:numId w:val="94"/>
        </w:numPr>
        <w:spacing w:before="100" w:beforeAutospacing="1" w:after="100" w:afterAutospacing="1"/>
        <w:textboxTightWrap w:val="none"/>
        <w:rPr>
          <w:rFonts w:asciiTheme="minorHAnsi" w:hAnsiTheme="minorHAnsi" w:cstheme="minorHAnsi"/>
        </w:rPr>
      </w:pPr>
      <w:r w:rsidRPr="0074306D">
        <w:rPr>
          <w:rFonts w:asciiTheme="minorHAnsi" w:hAnsiTheme="minorHAnsi" w:cstheme="minorHAnsi"/>
        </w:rPr>
        <w:t>Where image quality or completeness is insufficient for diagnostic purposes, local systems or established fallback pathways must be used</w:t>
      </w:r>
    </w:p>
    <w:p w14:paraId="7F088058" w14:textId="45D8DF73" w:rsidR="00022795" w:rsidRPr="0074306D" w:rsidRDefault="00022795" w:rsidP="0074306D">
      <w:pPr>
        <w:numPr>
          <w:ilvl w:val="0"/>
          <w:numId w:val="94"/>
        </w:numPr>
        <w:spacing w:before="100" w:beforeAutospacing="1" w:after="100" w:afterAutospacing="1"/>
        <w:textboxTightWrap w:val="none"/>
        <w:rPr>
          <w:rFonts w:asciiTheme="minorHAnsi" w:hAnsiTheme="minorHAnsi" w:cstheme="minorHAnsi"/>
        </w:rPr>
      </w:pPr>
      <w:r>
        <w:t>Users should re-query imaging where clinical decisions depend on the most up-to-date report, particularly where addenda may exist</w:t>
      </w:r>
    </w:p>
    <w:p w14:paraId="41E8547A" w14:textId="77777777" w:rsidR="0074306D" w:rsidRPr="0074306D" w:rsidRDefault="0074306D" w:rsidP="00FD6B54">
      <w:pPr>
        <w:pStyle w:val="Heading1"/>
        <w:rPr>
          <w:rFonts w:asciiTheme="minorHAnsi" w:hAnsiTheme="minorHAnsi" w:cstheme="minorHAnsi"/>
        </w:rPr>
      </w:pPr>
    </w:p>
    <w:p w14:paraId="7F8970BF" w14:textId="77777777" w:rsidR="0074306D" w:rsidRDefault="0074306D">
      <w:pPr>
        <w:spacing w:after="0"/>
        <w:textboxTightWrap w:val="none"/>
        <w:rPr>
          <w:rFonts w:cs="Arial"/>
          <w:b/>
          <w:bCs/>
          <w:color w:val="005EB8" w:themeColor="accent1"/>
          <w:spacing w:val="-14"/>
          <w:kern w:val="28"/>
          <w:sz w:val="42"/>
          <w:szCs w:val="32"/>
          <w14:ligatures w14:val="standardContextual"/>
        </w:rPr>
      </w:pPr>
      <w:r>
        <w:br w:type="page"/>
      </w:r>
    </w:p>
    <w:p w14:paraId="3FBD3665" w14:textId="34962801" w:rsidR="00FD6B54" w:rsidRPr="00BD7FB4" w:rsidRDefault="00FD6B54" w:rsidP="00FD6B54">
      <w:pPr>
        <w:pStyle w:val="Heading1"/>
      </w:pPr>
      <w:r w:rsidRPr="00BD7FB4">
        <w:lastRenderedPageBreak/>
        <w:t>Appendices</w:t>
      </w:r>
      <w:bookmarkEnd w:id="60"/>
    </w:p>
    <w:p w14:paraId="7B3E2B0B" w14:textId="6CCDC2F4" w:rsidR="00FD6B54" w:rsidRPr="00BD7FB4" w:rsidRDefault="00FD6B54" w:rsidP="00105D26">
      <w:pPr>
        <w:pStyle w:val="Heading2"/>
      </w:pPr>
      <w:bookmarkStart w:id="62" w:name="_Toc214870544"/>
      <w:r w:rsidRPr="00BD7FB4">
        <w:t xml:space="preserve">Appendix </w:t>
      </w:r>
      <w:r w:rsidR="0087681E">
        <w:t>A</w:t>
      </w:r>
      <w:r w:rsidRPr="00BD7FB4">
        <w:t xml:space="preserve"> – Risk Matrices and Definitions</w:t>
      </w:r>
      <w:bookmarkEnd w:id="62"/>
      <w:r w:rsidRPr="00BD7FB4">
        <w:t xml:space="preserve"> </w:t>
      </w:r>
    </w:p>
    <w:p w14:paraId="1B0650AA" w14:textId="77777777" w:rsidR="00FD6B54" w:rsidRPr="00BD7FB4" w:rsidRDefault="00FD6B54" w:rsidP="00FD6B54">
      <w:pPr>
        <w:spacing w:before="240"/>
        <w:rPr>
          <w:b/>
          <w:bCs/>
          <w:color w:val="0070C0"/>
        </w:rPr>
      </w:pPr>
      <w:r w:rsidRPr="00BD7FB4">
        <w:rPr>
          <w:b/>
          <w:bCs/>
          <w:color w:val="0070C0"/>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FD6B54" w:rsidRPr="00BD7FB4" w14:paraId="029FA892" w14:textId="77777777">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5C515369" w14:textId="77777777" w:rsidR="00FD6B54" w:rsidRPr="00BD7FB4" w:rsidRDefault="00FD6B54">
            <w:pPr>
              <w:jc w:val="center"/>
              <w:rPr>
                <w:b/>
                <w:color w:val="auto"/>
              </w:rPr>
            </w:pPr>
            <w:r w:rsidRPr="00BD7FB4">
              <w:rPr>
                <w:b/>
                <w:color w:val="auto"/>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6F9D230" w14:textId="77777777" w:rsidR="00FD6B54" w:rsidRPr="00BD7FB4" w:rsidRDefault="00FD6B54">
            <w:pPr>
              <w:rPr>
                <w:color w:val="auto"/>
              </w:rPr>
            </w:pPr>
            <w:r w:rsidRPr="00BD7FB4">
              <w:rPr>
                <w:color w:val="auto"/>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29015C9F" w14:textId="77777777" w:rsidR="00FD6B54" w:rsidRPr="00BD7FB4" w:rsidRDefault="00FD6B54">
            <w:pPr>
              <w:rPr>
                <w:color w:val="auto"/>
              </w:rPr>
            </w:pPr>
            <w:r w:rsidRPr="00BD7FB4">
              <w:rPr>
                <w:color w:val="auto"/>
              </w:rPr>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344B09CB"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DC375E8" w14:textId="77777777" w:rsidR="00FD6B54" w:rsidRPr="00BD7FB4" w:rsidRDefault="00FD6B54">
            <w:pPr>
              <w:rPr>
                <w:color w:val="auto"/>
              </w:rPr>
            </w:pPr>
            <w:r w:rsidRPr="00BD7FB4">
              <w:rPr>
                <w:color w:val="auto"/>
              </w:rPr>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0E8F11DC" w14:textId="77777777" w:rsidR="00FD6B54" w:rsidRPr="00BD7FB4" w:rsidRDefault="00FD6B54">
            <w:pPr>
              <w:rPr>
                <w:color w:val="auto"/>
              </w:rPr>
            </w:pPr>
            <w:r w:rsidRPr="00BD7FB4">
              <w:rPr>
                <w:color w:val="auto"/>
              </w:rPr>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21ACF0D4" w14:textId="77777777" w:rsidR="00FD6B54" w:rsidRPr="00BD7FB4" w:rsidRDefault="00FD6B54">
            <w:pPr>
              <w:rPr>
                <w:color w:val="auto"/>
              </w:rPr>
            </w:pPr>
            <w:r w:rsidRPr="00BD7FB4">
              <w:rPr>
                <w:color w:val="auto"/>
              </w:rPr>
              <w:t>5</w:t>
            </w:r>
          </w:p>
        </w:tc>
      </w:tr>
      <w:tr w:rsidR="00FD6B54" w:rsidRPr="00BD7FB4" w14:paraId="0B6B2DBF"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42129B51"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5EDD47B2" w14:textId="77777777" w:rsidR="00FD6B54" w:rsidRPr="00BD7FB4" w:rsidRDefault="00FD6B54">
            <w:pPr>
              <w:rPr>
                <w:color w:val="auto"/>
              </w:rPr>
            </w:pPr>
            <w:r w:rsidRPr="00BD7FB4">
              <w:rPr>
                <w:color w:val="auto"/>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6A145D44"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2A4ADF3C"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562B8FF"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075FCAF5"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00F9D4F3" w14:textId="77777777" w:rsidR="00FD6B54" w:rsidRPr="00BD7FB4" w:rsidRDefault="00FD6B54">
            <w:pPr>
              <w:rPr>
                <w:color w:val="auto"/>
              </w:rPr>
            </w:pPr>
            <w:r w:rsidRPr="00BD7FB4">
              <w:rPr>
                <w:color w:val="auto"/>
              </w:rPr>
              <w:t>5</w:t>
            </w:r>
          </w:p>
        </w:tc>
      </w:tr>
      <w:tr w:rsidR="00FD6B54" w:rsidRPr="00BD7FB4" w14:paraId="23215EC4"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9C6A619"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4DEC46B" w14:textId="77777777" w:rsidR="00FD6B54" w:rsidRPr="00BD7FB4" w:rsidRDefault="00FD6B54">
            <w:pPr>
              <w:rPr>
                <w:color w:val="auto"/>
              </w:rPr>
            </w:pPr>
            <w:r w:rsidRPr="00BD7FB4">
              <w:rPr>
                <w:color w:val="auto"/>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312208F6"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01BE9D7D"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08AC68E7"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59412B01"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41BA1F7" w14:textId="77777777" w:rsidR="00FD6B54" w:rsidRPr="00BD7FB4" w:rsidRDefault="00FD6B54">
            <w:pPr>
              <w:rPr>
                <w:color w:val="auto"/>
              </w:rPr>
            </w:pPr>
            <w:r w:rsidRPr="00BD7FB4">
              <w:rPr>
                <w:color w:val="auto"/>
              </w:rPr>
              <w:t>4</w:t>
            </w:r>
          </w:p>
        </w:tc>
      </w:tr>
      <w:tr w:rsidR="00FD6B54" w:rsidRPr="00BD7FB4" w14:paraId="061102B5"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23D5D78"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17379D63" w14:textId="77777777" w:rsidR="00FD6B54" w:rsidRPr="00BD7FB4" w:rsidRDefault="00FD6B54">
            <w:pPr>
              <w:rPr>
                <w:color w:val="auto"/>
              </w:rPr>
            </w:pPr>
            <w:r w:rsidRPr="00BD7FB4">
              <w:rPr>
                <w:color w:val="auto"/>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4B9D9BCE"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786F1A8E"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595AA8EE"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060F894F"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1D133CD2" w14:textId="77777777" w:rsidR="00FD6B54" w:rsidRPr="00BD7FB4" w:rsidRDefault="00FD6B54">
            <w:pPr>
              <w:rPr>
                <w:color w:val="auto"/>
              </w:rPr>
            </w:pPr>
            <w:r w:rsidRPr="00BD7FB4">
              <w:rPr>
                <w:color w:val="auto"/>
              </w:rPr>
              <w:t>4</w:t>
            </w:r>
          </w:p>
        </w:tc>
      </w:tr>
      <w:tr w:rsidR="00FD6B54" w:rsidRPr="00BD7FB4" w14:paraId="572F5560"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5A198FE"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3772DCD" w14:textId="77777777" w:rsidR="00FD6B54" w:rsidRPr="00BD7FB4" w:rsidRDefault="00FD6B54">
            <w:pPr>
              <w:rPr>
                <w:color w:val="auto"/>
              </w:rPr>
            </w:pPr>
            <w:r w:rsidRPr="00BD7FB4">
              <w:rPr>
                <w:color w:val="auto"/>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E24F007"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6A194596" w14:textId="77777777" w:rsidR="00FD6B54" w:rsidRPr="00BD7FB4" w:rsidRDefault="00FD6B54">
            <w:pPr>
              <w:rPr>
                <w:color w:val="auto"/>
              </w:rPr>
            </w:pPr>
            <w:r w:rsidRPr="00BD7FB4">
              <w:rPr>
                <w:color w:val="auto"/>
              </w:rPr>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668F6DDF"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2776F0CF"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9010527" w14:textId="77777777" w:rsidR="00FD6B54" w:rsidRPr="00BD7FB4" w:rsidRDefault="00FD6B54">
            <w:pPr>
              <w:rPr>
                <w:color w:val="auto"/>
              </w:rPr>
            </w:pPr>
            <w:r w:rsidRPr="00BD7FB4">
              <w:rPr>
                <w:color w:val="auto"/>
              </w:rPr>
              <w:t>3</w:t>
            </w:r>
          </w:p>
        </w:tc>
      </w:tr>
      <w:tr w:rsidR="00FD6B54" w:rsidRPr="00BD7FB4" w14:paraId="6CF92C66" w14:textId="77777777">
        <w:trPr>
          <w:tblHeader/>
        </w:trPr>
        <w:tc>
          <w:tcPr>
            <w:tcW w:w="1985" w:type="dxa"/>
            <w:gridSpan w:val="2"/>
            <w:vMerge w:val="restart"/>
            <w:tcBorders>
              <w:top w:val="single" w:sz="4" w:space="0" w:color="auto"/>
              <w:right w:val="single" w:sz="4" w:space="0" w:color="auto"/>
            </w:tcBorders>
          </w:tcPr>
          <w:p w14:paraId="4DEB2428" w14:textId="77777777" w:rsidR="00FD6B54" w:rsidRPr="00BD7FB4" w:rsidRDefault="00FD6B54">
            <w:pPr>
              <w:rPr>
                <w:color w:val="auto"/>
              </w:rPr>
            </w:pPr>
          </w:p>
        </w:tc>
        <w:tc>
          <w:tcPr>
            <w:tcW w:w="1417"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50D6FC08" w14:textId="77777777" w:rsidR="00FD6B54" w:rsidRPr="00BD7FB4" w:rsidRDefault="00FD6B54">
            <w:pPr>
              <w:rPr>
                <w:color w:val="auto"/>
              </w:rPr>
            </w:pPr>
            <w:r w:rsidRPr="00BD7FB4">
              <w:rPr>
                <w:color w:val="auto"/>
              </w:rPr>
              <w:t>Minor</w:t>
            </w:r>
          </w:p>
        </w:tc>
        <w:tc>
          <w:tcPr>
            <w:tcW w:w="1418"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628F8F27" w14:textId="77777777" w:rsidR="00FD6B54" w:rsidRPr="00BD7FB4" w:rsidRDefault="00FD6B54">
            <w:pPr>
              <w:rPr>
                <w:color w:val="auto"/>
              </w:rPr>
            </w:pPr>
            <w:r w:rsidRPr="00BD7FB4">
              <w:rPr>
                <w:color w:val="auto"/>
              </w:rPr>
              <w:t>Significant</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3873B99D" w14:textId="77777777" w:rsidR="00FD6B54" w:rsidRPr="00BD7FB4" w:rsidRDefault="00FD6B54">
            <w:pPr>
              <w:rPr>
                <w:color w:val="auto"/>
              </w:rPr>
            </w:pPr>
            <w:r w:rsidRPr="00BD7FB4">
              <w:rPr>
                <w:color w:val="auto"/>
              </w:rPr>
              <w:t>Considerable</w:t>
            </w:r>
          </w:p>
        </w:tc>
        <w:tc>
          <w:tcPr>
            <w:tcW w:w="1134"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4AA48BD5" w14:textId="77777777" w:rsidR="00FD6B54" w:rsidRPr="00BD7FB4" w:rsidRDefault="00FD6B54">
            <w:pPr>
              <w:rPr>
                <w:color w:val="auto"/>
              </w:rPr>
            </w:pPr>
            <w:r w:rsidRPr="00BD7FB4">
              <w:rPr>
                <w:color w:val="auto"/>
              </w:rPr>
              <w:t>Major</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25955561" w14:textId="77777777" w:rsidR="00FD6B54" w:rsidRPr="00BD7FB4" w:rsidRDefault="00FD6B54">
            <w:pPr>
              <w:rPr>
                <w:color w:val="auto"/>
              </w:rPr>
            </w:pPr>
            <w:r w:rsidRPr="00BD7FB4">
              <w:rPr>
                <w:color w:val="auto"/>
              </w:rPr>
              <w:t>Catastrophic</w:t>
            </w:r>
          </w:p>
        </w:tc>
      </w:tr>
      <w:tr w:rsidR="00FD6B54" w:rsidRPr="00BD7FB4" w14:paraId="2E89EFA9" w14:textId="77777777">
        <w:trPr>
          <w:trHeight w:val="459"/>
          <w:tblHeader/>
        </w:trPr>
        <w:tc>
          <w:tcPr>
            <w:tcW w:w="1985" w:type="dxa"/>
            <w:gridSpan w:val="2"/>
            <w:vMerge/>
            <w:tcBorders>
              <w:top w:val="single" w:sz="4" w:space="0" w:color="auto"/>
              <w:right w:val="single" w:sz="4" w:space="0" w:color="auto"/>
            </w:tcBorders>
          </w:tcPr>
          <w:p w14:paraId="2E292DCE" w14:textId="77777777" w:rsidR="00FD6B54" w:rsidRPr="00BD7FB4" w:rsidRDefault="00FD6B54">
            <w:pPr>
              <w:rPr>
                <w:color w:val="auto"/>
              </w:rPr>
            </w:pPr>
          </w:p>
        </w:tc>
        <w:tc>
          <w:tcPr>
            <w:tcW w:w="7371" w:type="dxa"/>
            <w:gridSpan w:val="5"/>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CCF0F46" w14:textId="77777777" w:rsidR="00FD6B54" w:rsidRPr="00BD7FB4" w:rsidRDefault="00FD6B54">
            <w:pPr>
              <w:jc w:val="center"/>
              <w:rPr>
                <w:b/>
                <w:color w:val="auto"/>
              </w:rPr>
            </w:pPr>
            <w:r w:rsidRPr="00BD7FB4">
              <w:rPr>
                <w:b/>
                <w:color w:val="auto"/>
              </w:rPr>
              <w:t>Consequence</w:t>
            </w:r>
          </w:p>
        </w:tc>
      </w:tr>
    </w:tbl>
    <w:p w14:paraId="7CBBEA5A" w14:textId="77777777" w:rsidR="00FD6B54" w:rsidRPr="00BD7FB4" w:rsidRDefault="00FD6B54" w:rsidP="00FD6B54">
      <w:pPr>
        <w:rPr>
          <w:color w:val="auto"/>
        </w:rPr>
      </w:pPr>
    </w:p>
    <w:p w14:paraId="501A753B" w14:textId="77777777" w:rsidR="00FD6B54" w:rsidRPr="00BD7FB4" w:rsidRDefault="00FD6B54" w:rsidP="00FD6B54">
      <w:pPr>
        <w:rPr>
          <w:color w:val="auto"/>
        </w:rPr>
      </w:pPr>
    </w:p>
    <w:p w14:paraId="22104010" w14:textId="77777777" w:rsidR="00FD6B54" w:rsidRPr="00BD7FB4" w:rsidRDefault="00FD6B54" w:rsidP="00FD6B54">
      <w:pPr>
        <w:rPr>
          <w:b/>
          <w:bCs/>
          <w:color w:val="auto"/>
        </w:rPr>
      </w:pPr>
      <w:r w:rsidRPr="00BD7FB4">
        <w:rPr>
          <w:b/>
          <w:bCs/>
          <w:color w:val="auto"/>
        </w:rPr>
        <w:t>Risk Matrix key - Severity</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7802"/>
      </w:tblGrid>
      <w:tr w:rsidR="00FD6B54" w:rsidRPr="00BD7FB4" w14:paraId="3E508C47" w14:textId="77777777" w:rsidTr="00F9526E">
        <w:tc>
          <w:tcPr>
            <w:tcW w:w="1696" w:type="dxa"/>
            <w:tcBorders>
              <w:bottom w:val="single" w:sz="4" w:space="0" w:color="auto"/>
            </w:tcBorders>
            <w:shd w:val="clear" w:color="auto" w:fill="E36C0A"/>
          </w:tcPr>
          <w:p w14:paraId="6476614E" w14:textId="77777777" w:rsidR="00FD6B54" w:rsidRPr="00BD7FB4" w:rsidRDefault="00FD6B54">
            <w:pPr>
              <w:rPr>
                <w:color w:val="auto"/>
              </w:rPr>
            </w:pPr>
            <w:r w:rsidRPr="00BD7FB4">
              <w:rPr>
                <w:color w:val="auto"/>
              </w:rPr>
              <w:t>5</w:t>
            </w:r>
          </w:p>
        </w:tc>
        <w:tc>
          <w:tcPr>
            <w:tcW w:w="7802" w:type="dxa"/>
          </w:tcPr>
          <w:p w14:paraId="2C7FCFB8" w14:textId="77777777" w:rsidR="00FD6B54" w:rsidRPr="00BD7FB4" w:rsidRDefault="00FD6B54">
            <w:pPr>
              <w:rPr>
                <w:color w:val="auto"/>
              </w:rPr>
            </w:pPr>
            <w:r w:rsidRPr="00BD7FB4">
              <w:rPr>
                <w:color w:val="auto"/>
              </w:rPr>
              <w:t>Unacceptable level of risk</w:t>
            </w:r>
          </w:p>
        </w:tc>
      </w:tr>
      <w:tr w:rsidR="00FD6B54" w:rsidRPr="00BD7FB4" w14:paraId="0588ED81" w14:textId="77777777" w:rsidTr="00F9526E">
        <w:tc>
          <w:tcPr>
            <w:tcW w:w="1696" w:type="dxa"/>
            <w:tcBorders>
              <w:bottom w:val="single" w:sz="4" w:space="0" w:color="auto"/>
            </w:tcBorders>
            <w:shd w:val="clear" w:color="auto" w:fill="E39495"/>
          </w:tcPr>
          <w:p w14:paraId="33224FBE" w14:textId="77777777" w:rsidR="00FD6B54" w:rsidRPr="00BD7FB4" w:rsidRDefault="00FD6B54">
            <w:pPr>
              <w:rPr>
                <w:color w:val="auto"/>
              </w:rPr>
            </w:pPr>
            <w:r w:rsidRPr="00BD7FB4">
              <w:rPr>
                <w:color w:val="auto"/>
              </w:rPr>
              <w:t>4</w:t>
            </w:r>
          </w:p>
        </w:tc>
        <w:tc>
          <w:tcPr>
            <w:tcW w:w="7802" w:type="dxa"/>
          </w:tcPr>
          <w:p w14:paraId="4659FE98" w14:textId="77777777" w:rsidR="00FD6B54" w:rsidRPr="00BD7FB4" w:rsidRDefault="00FD6B54">
            <w:pPr>
              <w:rPr>
                <w:color w:val="auto"/>
              </w:rPr>
            </w:pPr>
            <w:r w:rsidRPr="00BD7FB4">
              <w:rPr>
                <w:color w:val="auto"/>
              </w:rPr>
              <w:t>Mandatory elimination or control to reduce risk to an acceptable level</w:t>
            </w:r>
          </w:p>
        </w:tc>
      </w:tr>
      <w:tr w:rsidR="00FD6B54" w:rsidRPr="00BD7FB4" w14:paraId="457B34A0" w14:textId="77777777" w:rsidTr="00F9526E">
        <w:tc>
          <w:tcPr>
            <w:tcW w:w="1696" w:type="dxa"/>
            <w:shd w:val="clear" w:color="auto" w:fill="FFCC99"/>
          </w:tcPr>
          <w:p w14:paraId="710C30FF" w14:textId="77777777" w:rsidR="00FD6B54" w:rsidRPr="00BD7FB4" w:rsidRDefault="00FD6B54">
            <w:pPr>
              <w:rPr>
                <w:color w:val="auto"/>
              </w:rPr>
            </w:pPr>
            <w:r w:rsidRPr="00BD7FB4">
              <w:rPr>
                <w:color w:val="auto"/>
              </w:rPr>
              <w:t>3</w:t>
            </w:r>
          </w:p>
        </w:tc>
        <w:tc>
          <w:tcPr>
            <w:tcW w:w="7802" w:type="dxa"/>
          </w:tcPr>
          <w:p w14:paraId="7BC09D3F" w14:textId="77777777" w:rsidR="00FD6B54" w:rsidRPr="00BD7FB4" w:rsidRDefault="00FD6B54">
            <w:pPr>
              <w:rPr>
                <w:color w:val="auto"/>
              </w:rPr>
            </w:pPr>
            <w:r w:rsidRPr="00BD7FB4">
              <w:rPr>
                <w:color w:val="auto"/>
              </w:rPr>
              <w:t>Undesirable level of risk</w:t>
            </w:r>
          </w:p>
          <w:p w14:paraId="275D6868" w14:textId="77777777" w:rsidR="00FD6B54" w:rsidRPr="00BD7FB4" w:rsidRDefault="00FD6B54">
            <w:pPr>
              <w:rPr>
                <w:color w:val="auto"/>
              </w:rPr>
            </w:pPr>
            <w:r w:rsidRPr="00BD7FB4">
              <w:rPr>
                <w:color w:val="auto"/>
              </w:rPr>
              <w:t>Attempts should be made to eliminate or control to reduce risk to an acceptable level.  Shall only be acceptable when further risk reduction is impractical.</w:t>
            </w:r>
          </w:p>
        </w:tc>
      </w:tr>
      <w:tr w:rsidR="00FD6B54" w:rsidRPr="00BD7FB4" w14:paraId="3D2A0198" w14:textId="77777777" w:rsidTr="00F9526E">
        <w:tc>
          <w:tcPr>
            <w:tcW w:w="1696" w:type="dxa"/>
            <w:shd w:val="clear" w:color="auto" w:fill="FFFF66"/>
          </w:tcPr>
          <w:p w14:paraId="229EA59C" w14:textId="77777777" w:rsidR="00FD6B54" w:rsidRPr="00BD7FB4" w:rsidRDefault="00FD6B54">
            <w:pPr>
              <w:rPr>
                <w:color w:val="auto"/>
              </w:rPr>
            </w:pPr>
            <w:r w:rsidRPr="00BD7FB4">
              <w:rPr>
                <w:color w:val="auto"/>
              </w:rPr>
              <w:t>2</w:t>
            </w:r>
          </w:p>
        </w:tc>
        <w:tc>
          <w:tcPr>
            <w:tcW w:w="7802" w:type="dxa"/>
          </w:tcPr>
          <w:p w14:paraId="3B441016" w14:textId="77777777" w:rsidR="00FD6B54" w:rsidRPr="00BD7FB4" w:rsidRDefault="00FD6B54">
            <w:pPr>
              <w:rPr>
                <w:color w:val="auto"/>
              </w:rPr>
            </w:pPr>
            <w:r w:rsidRPr="00BD7FB4">
              <w:rPr>
                <w:color w:val="auto"/>
              </w:rPr>
              <w:t>Acceptable where cost of further reduction outweighs benefits gained.</w:t>
            </w:r>
          </w:p>
        </w:tc>
      </w:tr>
      <w:tr w:rsidR="00FD6B54" w:rsidRPr="00BD7FB4" w14:paraId="7069A098" w14:textId="77777777" w:rsidTr="00F9526E">
        <w:tc>
          <w:tcPr>
            <w:tcW w:w="1696" w:type="dxa"/>
            <w:shd w:val="clear" w:color="auto" w:fill="9EFEB5"/>
          </w:tcPr>
          <w:p w14:paraId="0F8C09C0" w14:textId="77777777" w:rsidR="00FD6B54" w:rsidRPr="00BD7FB4" w:rsidRDefault="00FD6B54">
            <w:pPr>
              <w:rPr>
                <w:color w:val="auto"/>
              </w:rPr>
            </w:pPr>
            <w:r w:rsidRPr="00BD7FB4">
              <w:rPr>
                <w:color w:val="auto"/>
              </w:rPr>
              <w:t>1</w:t>
            </w:r>
          </w:p>
        </w:tc>
        <w:tc>
          <w:tcPr>
            <w:tcW w:w="7802" w:type="dxa"/>
          </w:tcPr>
          <w:p w14:paraId="0A5EC2F3" w14:textId="77777777" w:rsidR="00FD6B54" w:rsidRPr="00BD7FB4" w:rsidRDefault="00FD6B54">
            <w:pPr>
              <w:rPr>
                <w:color w:val="auto"/>
              </w:rPr>
            </w:pPr>
            <w:r w:rsidRPr="00BD7FB4">
              <w:rPr>
                <w:color w:val="auto"/>
              </w:rPr>
              <w:t>Acceptable, no further action required</w:t>
            </w:r>
          </w:p>
        </w:tc>
      </w:tr>
    </w:tbl>
    <w:p w14:paraId="1F42C987" w14:textId="77777777" w:rsidR="00FD6B54" w:rsidRPr="00BD7FB4" w:rsidRDefault="00FD6B54" w:rsidP="00FD6B54">
      <w:pPr>
        <w:rPr>
          <w:b/>
          <w:bCs/>
          <w:color w:val="auto"/>
        </w:rPr>
      </w:pPr>
    </w:p>
    <w:p w14:paraId="6039FF81" w14:textId="77777777" w:rsidR="00FD6B54" w:rsidRPr="00BD7FB4" w:rsidRDefault="00FD6B54" w:rsidP="00FD6B54">
      <w:pPr>
        <w:rPr>
          <w:b/>
          <w:bCs/>
          <w:color w:val="auto"/>
        </w:rPr>
      </w:pPr>
    </w:p>
    <w:p w14:paraId="2C0BF24C" w14:textId="77777777" w:rsidR="00FD6B54" w:rsidRPr="00BD7FB4" w:rsidRDefault="00FD6B54" w:rsidP="00FD6B54">
      <w:pPr>
        <w:rPr>
          <w:b/>
          <w:bCs/>
          <w:color w:val="auto"/>
        </w:rPr>
      </w:pPr>
      <w:r w:rsidRPr="00BD7FB4">
        <w:rPr>
          <w:b/>
          <w:bCs/>
          <w:color w:val="auto"/>
        </w:rPr>
        <w:t>Hazard likelihood definitions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6"/>
        <w:gridCol w:w="7660"/>
      </w:tblGrid>
      <w:tr w:rsidR="00FD6B54" w:rsidRPr="00BD7FB4" w14:paraId="0B27E43E" w14:textId="77777777">
        <w:trPr>
          <w:trHeight w:val="756"/>
        </w:trPr>
        <w:tc>
          <w:tcPr>
            <w:tcW w:w="1412" w:type="dxa"/>
            <w:shd w:val="clear" w:color="auto" w:fill="A9DFFF"/>
          </w:tcPr>
          <w:p w14:paraId="615B1FCE" w14:textId="77777777" w:rsidR="00FD6B54" w:rsidRPr="00BD7FB4" w:rsidRDefault="00FD6B54">
            <w:pPr>
              <w:rPr>
                <w:b/>
                <w:bCs/>
                <w:color w:val="auto"/>
              </w:rPr>
            </w:pPr>
            <w:r w:rsidRPr="00BD7FB4">
              <w:rPr>
                <w:b/>
                <w:bCs/>
                <w:color w:val="auto"/>
              </w:rPr>
              <w:t>Likelihood Category</w:t>
            </w:r>
          </w:p>
        </w:tc>
        <w:tc>
          <w:tcPr>
            <w:tcW w:w="7660" w:type="dxa"/>
            <w:shd w:val="clear" w:color="auto" w:fill="A9DFFF"/>
          </w:tcPr>
          <w:p w14:paraId="7FE005A3" w14:textId="77777777" w:rsidR="00FD6B54" w:rsidRPr="00BD7FB4" w:rsidRDefault="00FD6B54">
            <w:pPr>
              <w:rPr>
                <w:b/>
                <w:bCs/>
                <w:color w:val="auto"/>
              </w:rPr>
            </w:pPr>
            <w:r w:rsidRPr="00BD7FB4">
              <w:rPr>
                <w:b/>
                <w:bCs/>
                <w:color w:val="auto"/>
              </w:rPr>
              <w:t>Interpretation</w:t>
            </w:r>
          </w:p>
          <w:p w14:paraId="50453C52" w14:textId="77777777" w:rsidR="00FD6B54" w:rsidRPr="00BD7FB4" w:rsidRDefault="00FD6B54">
            <w:pPr>
              <w:rPr>
                <w:b/>
                <w:bCs/>
                <w:color w:val="auto"/>
              </w:rPr>
            </w:pPr>
          </w:p>
        </w:tc>
      </w:tr>
      <w:tr w:rsidR="00FD6B54" w:rsidRPr="00BD7FB4" w14:paraId="598E12EC" w14:textId="77777777">
        <w:tc>
          <w:tcPr>
            <w:tcW w:w="1412" w:type="dxa"/>
          </w:tcPr>
          <w:p w14:paraId="146BD8D2" w14:textId="77777777" w:rsidR="00FD6B54" w:rsidRPr="00BD7FB4" w:rsidRDefault="00FD6B54">
            <w:pPr>
              <w:rPr>
                <w:color w:val="auto"/>
              </w:rPr>
            </w:pPr>
            <w:r w:rsidRPr="00BD7FB4">
              <w:rPr>
                <w:color w:val="auto"/>
              </w:rPr>
              <w:t xml:space="preserve">Very high </w:t>
            </w:r>
          </w:p>
        </w:tc>
        <w:tc>
          <w:tcPr>
            <w:tcW w:w="7660" w:type="dxa"/>
          </w:tcPr>
          <w:p w14:paraId="0869AFE8" w14:textId="77777777" w:rsidR="00FD6B54" w:rsidRPr="00BD7FB4" w:rsidRDefault="00FD6B54">
            <w:pPr>
              <w:rPr>
                <w:color w:val="auto"/>
              </w:rPr>
            </w:pPr>
            <w:r w:rsidRPr="00BD7FB4">
              <w:rPr>
                <w:color w:val="auto"/>
              </w:rPr>
              <w:t xml:space="preserve">Certain or almost certain; highly likely to occur </w:t>
            </w:r>
          </w:p>
        </w:tc>
      </w:tr>
      <w:tr w:rsidR="00FD6B54" w:rsidRPr="00BD7FB4" w14:paraId="6BBF277D" w14:textId="77777777">
        <w:tc>
          <w:tcPr>
            <w:tcW w:w="1412" w:type="dxa"/>
          </w:tcPr>
          <w:p w14:paraId="3A78D80D" w14:textId="77777777" w:rsidR="00FD6B54" w:rsidRPr="00BD7FB4" w:rsidRDefault="00FD6B54">
            <w:pPr>
              <w:rPr>
                <w:color w:val="auto"/>
              </w:rPr>
            </w:pPr>
            <w:r w:rsidRPr="00BD7FB4">
              <w:rPr>
                <w:color w:val="auto"/>
              </w:rPr>
              <w:t xml:space="preserve">High </w:t>
            </w:r>
          </w:p>
        </w:tc>
        <w:tc>
          <w:tcPr>
            <w:tcW w:w="7660" w:type="dxa"/>
          </w:tcPr>
          <w:p w14:paraId="49054F47" w14:textId="77777777" w:rsidR="00FD6B54" w:rsidRPr="00BD7FB4" w:rsidRDefault="00FD6B54">
            <w:pPr>
              <w:rPr>
                <w:color w:val="auto"/>
              </w:rPr>
            </w:pPr>
            <w:r w:rsidRPr="00BD7FB4">
              <w:rPr>
                <w:color w:val="auto"/>
              </w:rPr>
              <w:t xml:space="preserve">Not certain but very possible; reasonably expected to occur in the majority of cases </w:t>
            </w:r>
          </w:p>
        </w:tc>
      </w:tr>
      <w:tr w:rsidR="00FD6B54" w:rsidRPr="00BD7FB4" w14:paraId="6A0F8606" w14:textId="77777777">
        <w:tc>
          <w:tcPr>
            <w:tcW w:w="1412" w:type="dxa"/>
          </w:tcPr>
          <w:p w14:paraId="1F5AD84E" w14:textId="77777777" w:rsidR="00FD6B54" w:rsidRPr="00BD7FB4" w:rsidRDefault="00FD6B54">
            <w:pPr>
              <w:rPr>
                <w:color w:val="auto"/>
              </w:rPr>
            </w:pPr>
            <w:r w:rsidRPr="00BD7FB4">
              <w:rPr>
                <w:color w:val="auto"/>
              </w:rPr>
              <w:t xml:space="preserve">Medium </w:t>
            </w:r>
          </w:p>
        </w:tc>
        <w:tc>
          <w:tcPr>
            <w:tcW w:w="7660" w:type="dxa"/>
          </w:tcPr>
          <w:p w14:paraId="7B28DF68" w14:textId="77777777" w:rsidR="00FD6B54" w:rsidRPr="00BD7FB4" w:rsidRDefault="00FD6B54">
            <w:pPr>
              <w:rPr>
                <w:color w:val="auto"/>
              </w:rPr>
            </w:pPr>
            <w:r w:rsidRPr="00BD7FB4">
              <w:rPr>
                <w:color w:val="auto"/>
              </w:rPr>
              <w:t>Possible</w:t>
            </w:r>
          </w:p>
        </w:tc>
      </w:tr>
      <w:tr w:rsidR="00FD6B54" w:rsidRPr="00BD7FB4" w14:paraId="19D5A928" w14:textId="77777777">
        <w:tc>
          <w:tcPr>
            <w:tcW w:w="1412" w:type="dxa"/>
          </w:tcPr>
          <w:p w14:paraId="70958E16" w14:textId="77777777" w:rsidR="00FD6B54" w:rsidRPr="00BD7FB4" w:rsidRDefault="00FD6B54">
            <w:pPr>
              <w:rPr>
                <w:color w:val="auto"/>
              </w:rPr>
            </w:pPr>
            <w:r w:rsidRPr="00BD7FB4">
              <w:rPr>
                <w:color w:val="auto"/>
              </w:rPr>
              <w:t xml:space="preserve">Low </w:t>
            </w:r>
          </w:p>
        </w:tc>
        <w:tc>
          <w:tcPr>
            <w:tcW w:w="7660" w:type="dxa"/>
          </w:tcPr>
          <w:p w14:paraId="3478D023" w14:textId="77777777" w:rsidR="00FD6B54" w:rsidRPr="00BD7FB4" w:rsidRDefault="00FD6B54">
            <w:pPr>
              <w:rPr>
                <w:color w:val="auto"/>
              </w:rPr>
            </w:pPr>
            <w:r w:rsidRPr="00BD7FB4">
              <w:rPr>
                <w:color w:val="auto"/>
              </w:rPr>
              <w:t xml:space="preserve">Could occur but in the great majority of occasions will not </w:t>
            </w:r>
          </w:p>
        </w:tc>
      </w:tr>
      <w:tr w:rsidR="00FD6B54" w:rsidRPr="00BD7FB4" w14:paraId="7274F7FE" w14:textId="77777777">
        <w:tc>
          <w:tcPr>
            <w:tcW w:w="1412" w:type="dxa"/>
          </w:tcPr>
          <w:p w14:paraId="34C72039" w14:textId="77777777" w:rsidR="00FD6B54" w:rsidRPr="00BD7FB4" w:rsidRDefault="00FD6B54">
            <w:pPr>
              <w:rPr>
                <w:color w:val="auto"/>
              </w:rPr>
            </w:pPr>
            <w:r w:rsidRPr="00BD7FB4">
              <w:rPr>
                <w:color w:val="auto"/>
              </w:rPr>
              <w:t xml:space="preserve">Very low </w:t>
            </w:r>
          </w:p>
        </w:tc>
        <w:tc>
          <w:tcPr>
            <w:tcW w:w="7660" w:type="dxa"/>
          </w:tcPr>
          <w:p w14:paraId="562C097E" w14:textId="77777777" w:rsidR="00FD6B54" w:rsidRPr="00BD7FB4" w:rsidRDefault="00FD6B54">
            <w:pPr>
              <w:rPr>
                <w:color w:val="auto"/>
              </w:rPr>
            </w:pPr>
            <w:r w:rsidRPr="00BD7FB4">
              <w:rPr>
                <w:color w:val="auto"/>
              </w:rPr>
              <w:t xml:space="preserve">Negligible or nearly negligible possibility of occurring </w:t>
            </w:r>
          </w:p>
        </w:tc>
      </w:tr>
    </w:tbl>
    <w:p w14:paraId="0C5AC795" w14:textId="77777777" w:rsidR="00FD6B54" w:rsidRPr="00BD7FB4" w:rsidRDefault="00FD6B54" w:rsidP="00FD6B54">
      <w:pPr>
        <w:rPr>
          <w:color w:val="0070C0"/>
        </w:rPr>
      </w:pPr>
      <w:r w:rsidRPr="00BD7FB4">
        <w:rPr>
          <w:color w:val="0070C0"/>
        </w:rPr>
        <w:br w:type="page"/>
      </w:r>
    </w:p>
    <w:p w14:paraId="5C3D3EFC" w14:textId="77777777" w:rsidR="00583743" w:rsidRDefault="00583743" w:rsidP="00FD6B54">
      <w:pPr>
        <w:rPr>
          <w:b/>
          <w:bCs/>
          <w:color w:val="0070C0"/>
        </w:rPr>
      </w:pPr>
    </w:p>
    <w:p w14:paraId="11A75FCC" w14:textId="2973D849" w:rsidR="00FD6B54" w:rsidRPr="00BD7FB4" w:rsidRDefault="00FD6B54" w:rsidP="00FD6B54">
      <w:pPr>
        <w:rPr>
          <w:b/>
          <w:bCs/>
          <w:color w:val="0070C0"/>
        </w:rPr>
      </w:pPr>
      <w:r w:rsidRPr="00BD7FB4">
        <w:rPr>
          <w:b/>
          <w:bCs/>
          <w:color w:val="0070C0"/>
        </w:rPr>
        <w:t>Hazard Consequence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FD6B54" w:rsidRPr="00BD7FB4" w14:paraId="139F2D30" w14:textId="77777777">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5D12BF38" w14:textId="77777777" w:rsidR="00FD6B54" w:rsidRPr="00BD7FB4" w:rsidRDefault="00FD6B54">
            <w:pPr>
              <w:rPr>
                <w:b/>
                <w:bCs/>
                <w:color w:val="auto"/>
              </w:rPr>
            </w:pPr>
            <w:r w:rsidRPr="00BD7FB4">
              <w:rPr>
                <w:b/>
                <w:bCs/>
                <w:color w:val="auto"/>
              </w:rPr>
              <w:t>Consequence Classification</w:t>
            </w:r>
          </w:p>
        </w:tc>
        <w:tc>
          <w:tcPr>
            <w:tcW w:w="2965"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333EA455" w14:textId="77777777" w:rsidR="00FD6B54" w:rsidRPr="00BD7FB4" w:rsidRDefault="00FD6B54">
            <w:pPr>
              <w:rPr>
                <w:b/>
                <w:bCs/>
                <w:color w:val="auto"/>
              </w:rPr>
            </w:pPr>
            <w:r w:rsidRPr="00BD7FB4">
              <w:rPr>
                <w:b/>
                <w:bCs/>
                <w:color w:val="auto"/>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05331451" w14:textId="77777777" w:rsidR="00FD6B54" w:rsidRPr="00BD7FB4" w:rsidRDefault="00FD6B54">
            <w:pPr>
              <w:jc w:val="center"/>
              <w:rPr>
                <w:b/>
                <w:bCs/>
                <w:color w:val="auto"/>
              </w:rPr>
            </w:pPr>
            <w:r w:rsidRPr="00BD7FB4">
              <w:rPr>
                <w:b/>
                <w:bCs/>
                <w:color w:val="auto"/>
              </w:rPr>
              <w:t>Number of Patients Affected</w:t>
            </w:r>
          </w:p>
        </w:tc>
      </w:tr>
      <w:tr w:rsidR="00FD6B54" w:rsidRPr="00BD7FB4" w14:paraId="72B97C52" w14:textId="77777777">
        <w:tblPrEx>
          <w:tblCellMar>
            <w:left w:w="0" w:type="dxa"/>
            <w:right w:w="0" w:type="dxa"/>
          </w:tblCellMar>
        </w:tblPrEx>
        <w:trPr>
          <w:cantSplit/>
          <w:trHeight w:val="324"/>
        </w:trPr>
        <w:tc>
          <w:tcPr>
            <w:tcW w:w="942" w:type="pct"/>
            <w:vMerge w:val="restart"/>
            <w:tcBorders>
              <w:top w:val="single" w:sz="4" w:space="0" w:color="auto"/>
            </w:tcBorders>
            <w:hideMark/>
          </w:tcPr>
          <w:p w14:paraId="5C954208" w14:textId="77777777" w:rsidR="00FD6B54" w:rsidRPr="00BD7FB4" w:rsidRDefault="00FD6B54">
            <w:pPr>
              <w:jc w:val="center"/>
              <w:rPr>
                <w:color w:val="auto"/>
              </w:rPr>
            </w:pPr>
            <w:r w:rsidRPr="00BD7FB4">
              <w:rPr>
                <w:color w:val="auto"/>
              </w:rPr>
              <w:t>Catastrophic</w:t>
            </w:r>
          </w:p>
        </w:tc>
        <w:tc>
          <w:tcPr>
            <w:tcW w:w="2965" w:type="pct"/>
            <w:tcBorders>
              <w:top w:val="single" w:sz="4" w:space="0" w:color="auto"/>
            </w:tcBorders>
            <w:hideMark/>
          </w:tcPr>
          <w:p w14:paraId="65132491" w14:textId="77777777" w:rsidR="00FD6B54" w:rsidRPr="00BD7FB4" w:rsidRDefault="00FD6B54">
            <w:pPr>
              <w:rPr>
                <w:color w:val="auto"/>
              </w:rPr>
            </w:pPr>
            <w:r w:rsidRPr="00BD7FB4">
              <w:rPr>
                <w:color w:val="auto"/>
              </w:rPr>
              <w:t xml:space="preserve">Death </w:t>
            </w:r>
          </w:p>
        </w:tc>
        <w:tc>
          <w:tcPr>
            <w:tcW w:w="1093" w:type="pct"/>
            <w:tcBorders>
              <w:top w:val="single" w:sz="4" w:space="0" w:color="auto"/>
            </w:tcBorders>
            <w:hideMark/>
          </w:tcPr>
          <w:p w14:paraId="2A6EAB97" w14:textId="77777777" w:rsidR="00FD6B54" w:rsidRPr="00BD7FB4" w:rsidRDefault="00FD6B54">
            <w:pPr>
              <w:jc w:val="center"/>
              <w:rPr>
                <w:color w:val="auto"/>
              </w:rPr>
            </w:pPr>
            <w:r w:rsidRPr="00BD7FB4">
              <w:rPr>
                <w:color w:val="auto"/>
              </w:rPr>
              <w:t>Multiple</w:t>
            </w:r>
          </w:p>
        </w:tc>
      </w:tr>
      <w:tr w:rsidR="00FD6B54" w:rsidRPr="00BD7FB4" w14:paraId="6C347227" w14:textId="77777777">
        <w:tblPrEx>
          <w:tblCellMar>
            <w:left w:w="0" w:type="dxa"/>
            <w:right w:w="0" w:type="dxa"/>
          </w:tblCellMar>
        </w:tblPrEx>
        <w:trPr>
          <w:cantSplit/>
          <w:trHeight w:val="117"/>
        </w:trPr>
        <w:tc>
          <w:tcPr>
            <w:tcW w:w="942" w:type="pct"/>
            <w:vMerge/>
            <w:hideMark/>
          </w:tcPr>
          <w:p w14:paraId="50E34608" w14:textId="77777777" w:rsidR="00FD6B54" w:rsidRPr="00BD7FB4" w:rsidRDefault="00FD6B54">
            <w:pPr>
              <w:jc w:val="center"/>
              <w:rPr>
                <w:color w:val="auto"/>
              </w:rPr>
            </w:pPr>
          </w:p>
        </w:tc>
        <w:tc>
          <w:tcPr>
            <w:tcW w:w="2965" w:type="pct"/>
            <w:hideMark/>
          </w:tcPr>
          <w:p w14:paraId="3A027EA4"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0CC13C56" w14:textId="77777777" w:rsidR="00FD6B54" w:rsidRPr="00BD7FB4" w:rsidRDefault="00FD6B54">
            <w:pPr>
              <w:jc w:val="center"/>
              <w:rPr>
                <w:color w:val="auto"/>
              </w:rPr>
            </w:pPr>
            <w:r w:rsidRPr="00BD7FB4">
              <w:rPr>
                <w:color w:val="auto"/>
              </w:rPr>
              <w:t>Multiple</w:t>
            </w:r>
          </w:p>
        </w:tc>
      </w:tr>
      <w:tr w:rsidR="00FD6B54" w:rsidRPr="00BD7FB4" w14:paraId="533E3D14" w14:textId="77777777">
        <w:tblPrEx>
          <w:tblCellMar>
            <w:left w:w="0" w:type="dxa"/>
            <w:right w:w="0" w:type="dxa"/>
          </w:tblCellMar>
        </w:tblPrEx>
        <w:trPr>
          <w:cantSplit/>
          <w:trHeight w:val="66"/>
        </w:trPr>
        <w:tc>
          <w:tcPr>
            <w:tcW w:w="942" w:type="pct"/>
            <w:vMerge w:val="restart"/>
            <w:hideMark/>
          </w:tcPr>
          <w:p w14:paraId="330C23E0" w14:textId="77777777" w:rsidR="00FD6B54" w:rsidRPr="00BD7FB4" w:rsidRDefault="00FD6B54">
            <w:pPr>
              <w:jc w:val="center"/>
              <w:rPr>
                <w:color w:val="auto"/>
              </w:rPr>
            </w:pPr>
            <w:r w:rsidRPr="00BD7FB4">
              <w:rPr>
                <w:color w:val="auto"/>
              </w:rPr>
              <w:t>Major</w:t>
            </w:r>
          </w:p>
        </w:tc>
        <w:tc>
          <w:tcPr>
            <w:tcW w:w="2965" w:type="pct"/>
            <w:hideMark/>
          </w:tcPr>
          <w:p w14:paraId="73C91CD1" w14:textId="77777777" w:rsidR="00FD6B54" w:rsidRPr="00BD7FB4" w:rsidRDefault="00FD6B54">
            <w:pPr>
              <w:rPr>
                <w:color w:val="auto"/>
              </w:rPr>
            </w:pPr>
            <w:r w:rsidRPr="00BD7FB4">
              <w:rPr>
                <w:color w:val="auto"/>
              </w:rPr>
              <w:t>Death</w:t>
            </w:r>
          </w:p>
        </w:tc>
        <w:tc>
          <w:tcPr>
            <w:tcW w:w="1093" w:type="pct"/>
            <w:hideMark/>
          </w:tcPr>
          <w:p w14:paraId="056372F8" w14:textId="77777777" w:rsidR="00FD6B54" w:rsidRPr="00BD7FB4" w:rsidRDefault="00FD6B54">
            <w:pPr>
              <w:jc w:val="center"/>
              <w:rPr>
                <w:color w:val="auto"/>
              </w:rPr>
            </w:pPr>
            <w:r w:rsidRPr="00BD7FB4">
              <w:rPr>
                <w:color w:val="auto"/>
              </w:rPr>
              <w:t>Single</w:t>
            </w:r>
          </w:p>
        </w:tc>
      </w:tr>
      <w:tr w:rsidR="00FD6B54" w:rsidRPr="00BD7FB4" w14:paraId="7042B33B" w14:textId="77777777">
        <w:tblPrEx>
          <w:tblCellMar>
            <w:left w:w="0" w:type="dxa"/>
            <w:right w:w="0" w:type="dxa"/>
          </w:tblCellMar>
        </w:tblPrEx>
        <w:trPr>
          <w:cantSplit/>
          <w:trHeight w:val="529"/>
        </w:trPr>
        <w:tc>
          <w:tcPr>
            <w:tcW w:w="942" w:type="pct"/>
            <w:vMerge/>
            <w:hideMark/>
          </w:tcPr>
          <w:p w14:paraId="15BA0FD2" w14:textId="77777777" w:rsidR="00FD6B54" w:rsidRPr="00BD7FB4" w:rsidRDefault="00FD6B54">
            <w:pPr>
              <w:jc w:val="center"/>
              <w:rPr>
                <w:color w:val="auto"/>
              </w:rPr>
            </w:pPr>
          </w:p>
        </w:tc>
        <w:tc>
          <w:tcPr>
            <w:tcW w:w="2965" w:type="pct"/>
            <w:hideMark/>
          </w:tcPr>
          <w:p w14:paraId="1DFD9FD1"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25E8D511" w14:textId="77777777" w:rsidR="00FD6B54" w:rsidRPr="00BD7FB4" w:rsidRDefault="00FD6B54">
            <w:pPr>
              <w:jc w:val="center"/>
              <w:rPr>
                <w:color w:val="auto"/>
              </w:rPr>
            </w:pPr>
            <w:r w:rsidRPr="00BD7FB4">
              <w:rPr>
                <w:color w:val="auto"/>
              </w:rPr>
              <w:t>Single</w:t>
            </w:r>
          </w:p>
        </w:tc>
      </w:tr>
      <w:tr w:rsidR="00FD6B54" w:rsidRPr="00BD7FB4" w14:paraId="6E1A1F54" w14:textId="77777777">
        <w:tblPrEx>
          <w:tblCellMar>
            <w:left w:w="0" w:type="dxa"/>
            <w:right w:w="0" w:type="dxa"/>
          </w:tblCellMar>
        </w:tblPrEx>
        <w:trPr>
          <w:cantSplit/>
          <w:trHeight w:val="496"/>
        </w:trPr>
        <w:tc>
          <w:tcPr>
            <w:tcW w:w="942" w:type="pct"/>
            <w:vMerge/>
            <w:hideMark/>
          </w:tcPr>
          <w:p w14:paraId="49E2D844" w14:textId="77777777" w:rsidR="00FD6B54" w:rsidRPr="00BD7FB4" w:rsidRDefault="00FD6B54">
            <w:pPr>
              <w:jc w:val="center"/>
              <w:rPr>
                <w:color w:val="auto"/>
              </w:rPr>
            </w:pPr>
          </w:p>
        </w:tc>
        <w:tc>
          <w:tcPr>
            <w:tcW w:w="2965" w:type="pct"/>
            <w:hideMark/>
          </w:tcPr>
          <w:p w14:paraId="1E8F9008"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049548E5" w14:textId="77777777" w:rsidR="00FD6B54" w:rsidRPr="00BD7FB4" w:rsidRDefault="00FD6B54">
            <w:pPr>
              <w:jc w:val="center"/>
              <w:rPr>
                <w:color w:val="auto"/>
              </w:rPr>
            </w:pPr>
            <w:r w:rsidRPr="00BD7FB4">
              <w:rPr>
                <w:color w:val="auto"/>
              </w:rPr>
              <w:t>Multiple</w:t>
            </w:r>
          </w:p>
        </w:tc>
      </w:tr>
      <w:tr w:rsidR="00FD6B54" w:rsidRPr="00BD7FB4" w14:paraId="62B8B37E" w14:textId="77777777">
        <w:tblPrEx>
          <w:tblCellMar>
            <w:left w:w="0" w:type="dxa"/>
            <w:right w:w="0" w:type="dxa"/>
          </w:tblCellMar>
        </w:tblPrEx>
        <w:trPr>
          <w:cantSplit/>
          <w:trHeight w:val="303"/>
        </w:trPr>
        <w:tc>
          <w:tcPr>
            <w:tcW w:w="942" w:type="pct"/>
            <w:vMerge/>
            <w:hideMark/>
          </w:tcPr>
          <w:p w14:paraId="7B30C4CF" w14:textId="77777777" w:rsidR="00FD6B54" w:rsidRPr="00BD7FB4" w:rsidRDefault="00FD6B54">
            <w:pPr>
              <w:jc w:val="center"/>
              <w:rPr>
                <w:color w:val="auto"/>
              </w:rPr>
            </w:pPr>
          </w:p>
        </w:tc>
        <w:tc>
          <w:tcPr>
            <w:tcW w:w="2965" w:type="pct"/>
            <w:hideMark/>
          </w:tcPr>
          <w:p w14:paraId="18FB3D9A" w14:textId="77777777" w:rsidR="00FD6B54" w:rsidRPr="00BD7FB4" w:rsidRDefault="00FD6B54">
            <w:pPr>
              <w:rPr>
                <w:color w:val="auto"/>
              </w:rPr>
            </w:pPr>
            <w:r w:rsidRPr="00BD7FB4">
              <w:rPr>
                <w:color w:val="auto"/>
              </w:rPr>
              <w:t>Severe psychological trauma</w:t>
            </w:r>
          </w:p>
        </w:tc>
        <w:tc>
          <w:tcPr>
            <w:tcW w:w="1093" w:type="pct"/>
            <w:hideMark/>
          </w:tcPr>
          <w:p w14:paraId="7976EEEB" w14:textId="77777777" w:rsidR="00FD6B54" w:rsidRPr="00BD7FB4" w:rsidRDefault="00FD6B54">
            <w:pPr>
              <w:jc w:val="center"/>
              <w:rPr>
                <w:color w:val="auto"/>
              </w:rPr>
            </w:pPr>
            <w:r w:rsidRPr="00BD7FB4">
              <w:rPr>
                <w:color w:val="auto"/>
              </w:rPr>
              <w:t>Multiple</w:t>
            </w:r>
          </w:p>
        </w:tc>
      </w:tr>
      <w:tr w:rsidR="00FD6B54" w:rsidRPr="00BD7FB4" w14:paraId="5D0B3F44" w14:textId="77777777">
        <w:tblPrEx>
          <w:tblCellMar>
            <w:left w:w="0" w:type="dxa"/>
            <w:right w:w="0" w:type="dxa"/>
          </w:tblCellMar>
        </w:tblPrEx>
        <w:trPr>
          <w:cantSplit/>
          <w:trHeight w:val="297"/>
        </w:trPr>
        <w:tc>
          <w:tcPr>
            <w:tcW w:w="942" w:type="pct"/>
            <w:vMerge w:val="restart"/>
            <w:hideMark/>
          </w:tcPr>
          <w:p w14:paraId="62CAC801" w14:textId="77777777" w:rsidR="00FD6B54" w:rsidRPr="00BD7FB4" w:rsidRDefault="00FD6B54">
            <w:pPr>
              <w:jc w:val="center"/>
              <w:rPr>
                <w:color w:val="auto"/>
              </w:rPr>
            </w:pPr>
            <w:r w:rsidRPr="00BD7FB4">
              <w:rPr>
                <w:color w:val="auto"/>
              </w:rPr>
              <w:br w:type="page"/>
              <w:t>Considerable</w:t>
            </w:r>
          </w:p>
        </w:tc>
        <w:tc>
          <w:tcPr>
            <w:tcW w:w="2965" w:type="pct"/>
            <w:hideMark/>
          </w:tcPr>
          <w:p w14:paraId="1867C966"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60A60B45" w14:textId="77777777" w:rsidR="00FD6B54" w:rsidRPr="00BD7FB4" w:rsidRDefault="00FD6B54">
            <w:pPr>
              <w:jc w:val="center"/>
              <w:rPr>
                <w:color w:val="auto"/>
              </w:rPr>
            </w:pPr>
            <w:r w:rsidRPr="00BD7FB4">
              <w:rPr>
                <w:color w:val="auto"/>
              </w:rPr>
              <w:t>Single</w:t>
            </w:r>
          </w:p>
        </w:tc>
      </w:tr>
      <w:tr w:rsidR="00FD6B54" w:rsidRPr="00BD7FB4" w14:paraId="168939C0" w14:textId="77777777">
        <w:tblPrEx>
          <w:tblCellMar>
            <w:left w:w="0" w:type="dxa"/>
            <w:right w:w="0" w:type="dxa"/>
          </w:tblCellMar>
        </w:tblPrEx>
        <w:trPr>
          <w:cantSplit/>
          <w:trHeight w:val="298"/>
        </w:trPr>
        <w:tc>
          <w:tcPr>
            <w:tcW w:w="942" w:type="pct"/>
            <w:vMerge/>
            <w:hideMark/>
          </w:tcPr>
          <w:p w14:paraId="1386EE72" w14:textId="77777777" w:rsidR="00FD6B54" w:rsidRPr="00BD7FB4" w:rsidRDefault="00FD6B54">
            <w:pPr>
              <w:jc w:val="center"/>
              <w:rPr>
                <w:color w:val="auto"/>
              </w:rPr>
            </w:pPr>
          </w:p>
        </w:tc>
        <w:tc>
          <w:tcPr>
            <w:tcW w:w="2965" w:type="pct"/>
            <w:hideMark/>
          </w:tcPr>
          <w:p w14:paraId="3A763D9E" w14:textId="77777777" w:rsidR="00FD6B54" w:rsidRPr="00BD7FB4" w:rsidRDefault="00FD6B54">
            <w:pPr>
              <w:rPr>
                <w:color w:val="auto"/>
              </w:rPr>
            </w:pPr>
            <w:r w:rsidRPr="00BD7FB4">
              <w:rPr>
                <w:color w:val="auto"/>
              </w:rPr>
              <w:t>Severe psychological trauma</w:t>
            </w:r>
          </w:p>
        </w:tc>
        <w:tc>
          <w:tcPr>
            <w:tcW w:w="1093" w:type="pct"/>
            <w:hideMark/>
          </w:tcPr>
          <w:p w14:paraId="6526A4B2" w14:textId="77777777" w:rsidR="00FD6B54" w:rsidRPr="00BD7FB4" w:rsidRDefault="00FD6B54">
            <w:pPr>
              <w:jc w:val="center"/>
              <w:rPr>
                <w:color w:val="auto"/>
              </w:rPr>
            </w:pPr>
            <w:r w:rsidRPr="00BD7FB4">
              <w:rPr>
                <w:color w:val="auto"/>
              </w:rPr>
              <w:t>Single</w:t>
            </w:r>
          </w:p>
        </w:tc>
      </w:tr>
      <w:tr w:rsidR="00FD6B54" w:rsidRPr="00BD7FB4" w14:paraId="248BA9E3" w14:textId="77777777">
        <w:tblPrEx>
          <w:tblCellMar>
            <w:left w:w="0" w:type="dxa"/>
            <w:right w:w="0" w:type="dxa"/>
          </w:tblCellMar>
        </w:tblPrEx>
        <w:trPr>
          <w:cantSplit/>
          <w:trHeight w:val="373"/>
        </w:trPr>
        <w:tc>
          <w:tcPr>
            <w:tcW w:w="942" w:type="pct"/>
            <w:vMerge/>
            <w:hideMark/>
          </w:tcPr>
          <w:p w14:paraId="2979429C" w14:textId="77777777" w:rsidR="00FD6B54" w:rsidRPr="00BD7FB4" w:rsidRDefault="00FD6B54">
            <w:pPr>
              <w:jc w:val="center"/>
              <w:rPr>
                <w:color w:val="auto"/>
              </w:rPr>
            </w:pPr>
          </w:p>
        </w:tc>
        <w:tc>
          <w:tcPr>
            <w:tcW w:w="2965" w:type="pct"/>
            <w:hideMark/>
          </w:tcPr>
          <w:p w14:paraId="2BFD1591"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27312CAD" w14:textId="77777777" w:rsidR="00FD6B54" w:rsidRPr="00BD7FB4" w:rsidRDefault="00FD6B54">
            <w:pPr>
              <w:jc w:val="center"/>
              <w:rPr>
                <w:color w:val="auto"/>
              </w:rPr>
            </w:pPr>
            <w:r w:rsidRPr="00BD7FB4">
              <w:rPr>
                <w:color w:val="auto"/>
              </w:rPr>
              <w:t>Multiple</w:t>
            </w:r>
          </w:p>
        </w:tc>
      </w:tr>
      <w:tr w:rsidR="00FD6B54" w:rsidRPr="00BD7FB4" w14:paraId="4DCC993F" w14:textId="77777777">
        <w:tblPrEx>
          <w:tblCellMar>
            <w:left w:w="0" w:type="dxa"/>
            <w:right w:w="0" w:type="dxa"/>
          </w:tblCellMar>
        </w:tblPrEx>
        <w:trPr>
          <w:cantSplit/>
          <w:trHeight w:val="337"/>
        </w:trPr>
        <w:tc>
          <w:tcPr>
            <w:tcW w:w="942" w:type="pct"/>
            <w:vMerge/>
            <w:hideMark/>
          </w:tcPr>
          <w:p w14:paraId="1D01366B" w14:textId="77777777" w:rsidR="00FD6B54" w:rsidRPr="00BD7FB4" w:rsidRDefault="00FD6B54">
            <w:pPr>
              <w:jc w:val="center"/>
              <w:rPr>
                <w:color w:val="auto"/>
              </w:rPr>
            </w:pPr>
          </w:p>
        </w:tc>
        <w:tc>
          <w:tcPr>
            <w:tcW w:w="2965" w:type="pct"/>
            <w:hideMark/>
          </w:tcPr>
          <w:p w14:paraId="52916F40" w14:textId="77777777" w:rsidR="00FD6B54" w:rsidRPr="00BD7FB4" w:rsidRDefault="00FD6B54">
            <w:pPr>
              <w:rPr>
                <w:color w:val="auto"/>
              </w:rPr>
            </w:pPr>
            <w:r w:rsidRPr="00BD7FB4">
              <w:rPr>
                <w:color w:val="auto"/>
              </w:rPr>
              <w:t>Significant psychological trauma.</w:t>
            </w:r>
          </w:p>
        </w:tc>
        <w:tc>
          <w:tcPr>
            <w:tcW w:w="1093" w:type="pct"/>
            <w:hideMark/>
          </w:tcPr>
          <w:p w14:paraId="3065D5EC" w14:textId="77777777" w:rsidR="00FD6B54" w:rsidRPr="00BD7FB4" w:rsidRDefault="00FD6B54">
            <w:pPr>
              <w:jc w:val="center"/>
              <w:rPr>
                <w:color w:val="auto"/>
              </w:rPr>
            </w:pPr>
            <w:r w:rsidRPr="00BD7FB4">
              <w:rPr>
                <w:color w:val="auto"/>
              </w:rPr>
              <w:t>Multiple</w:t>
            </w:r>
          </w:p>
        </w:tc>
      </w:tr>
      <w:tr w:rsidR="00FD6B54" w:rsidRPr="00BD7FB4" w14:paraId="55479608" w14:textId="77777777">
        <w:tblPrEx>
          <w:tblCellMar>
            <w:left w:w="0" w:type="dxa"/>
            <w:right w:w="0" w:type="dxa"/>
          </w:tblCellMar>
        </w:tblPrEx>
        <w:trPr>
          <w:cantSplit/>
          <w:trHeight w:val="182"/>
        </w:trPr>
        <w:tc>
          <w:tcPr>
            <w:tcW w:w="942" w:type="pct"/>
            <w:vMerge w:val="restart"/>
            <w:hideMark/>
          </w:tcPr>
          <w:p w14:paraId="3D1FEFE9" w14:textId="77777777" w:rsidR="00FD6B54" w:rsidRPr="00BD7FB4" w:rsidRDefault="00FD6B54">
            <w:pPr>
              <w:jc w:val="center"/>
              <w:rPr>
                <w:color w:val="auto"/>
              </w:rPr>
            </w:pPr>
            <w:r w:rsidRPr="00BD7FB4">
              <w:rPr>
                <w:color w:val="auto"/>
              </w:rPr>
              <w:br w:type="page"/>
              <w:t>Significant</w:t>
            </w:r>
          </w:p>
        </w:tc>
        <w:tc>
          <w:tcPr>
            <w:tcW w:w="2965" w:type="pct"/>
            <w:hideMark/>
          </w:tcPr>
          <w:p w14:paraId="0D439850"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7536E04B" w14:textId="77777777" w:rsidR="00FD6B54" w:rsidRPr="00BD7FB4" w:rsidRDefault="00FD6B54">
            <w:pPr>
              <w:jc w:val="center"/>
              <w:rPr>
                <w:color w:val="auto"/>
              </w:rPr>
            </w:pPr>
            <w:r w:rsidRPr="00BD7FB4">
              <w:rPr>
                <w:color w:val="auto"/>
              </w:rPr>
              <w:t>Single</w:t>
            </w:r>
          </w:p>
        </w:tc>
      </w:tr>
      <w:tr w:rsidR="00FD6B54" w:rsidRPr="00BD7FB4" w14:paraId="2FD1D50E" w14:textId="77777777">
        <w:tblPrEx>
          <w:tblCellMar>
            <w:left w:w="0" w:type="dxa"/>
            <w:right w:w="0" w:type="dxa"/>
          </w:tblCellMar>
        </w:tblPrEx>
        <w:trPr>
          <w:cantSplit/>
          <w:trHeight w:val="182"/>
        </w:trPr>
        <w:tc>
          <w:tcPr>
            <w:tcW w:w="942" w:type="pct"/>
            <w:vMerge/>
            <w:hideMark/>
          </w:tcPr>
          <w:p w14:paraId="36538341" w14:textId="77777777" w:rsidR="00FD6B54" w:rsidRPr="00BD7FB4" w:rsidRDefault="00FD6B54">
            <w:pPr>
              <w:jc w:val="center"/>
              <w:rPr>
                <w:color w:val="auto"/>
              </w:rPr>
            </w:pPr>
          </w:p>
        </w:tc>
        <w:tc>
          <w:tcPr>
            <w:tcW w:w="2965" w:type="pct"/>
            <w:hideMark/>
          </w:tcPr>
          <w:p w14:paraId="3CDF1FFE" w14:textId="77777777" w:rsidR="00FD6B54" w:rsidRPr="00BD7FB4" w:rsidRDefault="00FD6B54">
            <w:pPr>
              <w:rPr>
                <w:color w:val="auto"/>
              </w:rPr>
            </w:pPr>
            <w:r w:rsidRPr="00BD7FB4">
              <w:rPr>
                <w:color w:val="auto"/>
              </w:rPr>
              <w:t>Significant psychological trauma</w:t>
            </w:r>
          </w:p>
        </w:tc>
        <w:tc>
          <w:tcPr>
            <w:tcW w:w="1093" w:type="pct"/>
            <w:hideMark/>
          </w:tcPr>
          <w:p w14:paraId="56DB22C5" w14:textId="77777777" w:rsidR="00FD6B54" w:rsidRPr="00BD7FB4" w:rsidRDefault="00FD6B54">
            <w:pPr>
              <w:jc w:val="center"/>
              <w:rPr>
                <w:color w:val="auto"/>
              </w:rPr>
            </w:pPr>
            <w:r w:rsidRPr="00BD7FB4">
              <w:rPr>
                <w:color w:val="auto"/>
              </w:rPr>
              <w:t>Single</w:t>
            </w:r>
          </w:p>
        </w:tc>
      </w:tr>
      <w:tr w:rsidR="00FD6B54" w:rsidRPr="00BD7FB4" w14:paraId="3AFBF3C4" w14:textId="77777777">
        <w:tblPrEx>
          <w:tblCellMar>
            <w:left w:w="0" w:type="dxa"/>
            <w:right w:w="0" w:type="dxa"/>
          </w:tblCellMar>
        </w:tblPrEx>
        <w:trPr>
          <w:cantSplit/>
          <w:trHeight w:val="281"/>
        </w:trPr>
        <w:tc>
          <w:tcPr>
            <w:tcW w:w="942" w:type="pct"/>
            <w:vMerge/>
            <w:hideMark/>
          </w:tcPr>
          <w:p w14:paraId="1FE74CBC" w14:textId="77777777" w:rsidR="00FD6B54" w:rsidRPr="00BD7FB4" w:rsidRDefault="00FD6B54">
            <w:pPr>
              <w:jc w:val="center"/>
              <w:rPr>
                <w:color w:val="auto"/>
              </w:rPr>
            </w:pPr>
          </w:p>
        </w:tc>
        <w:tc>
          <w:tcPr>
            <w:tcW w:w="2965" w:type="pct"/>
            <w:hideMark/>
          </w:tcPr>
          <w:p w14:paraId="07778930" w14:textId="77777777" w:rsidR="00FD6B54" w:rsidRPr="00BD7FB4" w:rsidRDefault="00FD6B54">
            <w:pPr>
              <w:rPr>
                <w:color w:val="auto"/>
              </w:rPr>
            </w:pPr>
            <w:r w:rsidRPr="00BD7FB4">
              <w:rPr>
                <w:color w:val="auto"/>
              </w:rPr>
              <w:t>Minor injury from which recovery is expected in the short term</w:t>
            </w:r>
          </w:p>
        </w:tc>
        <w:tc>
          <w:tcPr>
            <w:tcW w:w="1093" w:type="pct"/>
            <w:hideMark/>
          </w:tcPr>
          <w:p w14:paraId="0FD6B575" w14:textId="77777777" w:rsidR="00FD6B54" w:rsidRPr="00BD7FB4" w:rsidRDefault="00FD6B54">
            <w:pPr>
              <w:jc w:val="center"/>
              <w:rPr>
                <w:color w:val="auto"/>
              </w:rPr>
            </w:pPr>
            <w:r w:rsidRPr="00BD7FB4">
              <w:rPr>
                <w:color w:val="auto"/>
              </w:rPr>
              <w:t>Multiple</w:t>
            </w:r>
          </w:p>
        </w:tc>
      </w:tr>
      <w:tr w:rsidR="00FD6B54" w:rsidRPr="00BD7FB4" w14:paraId="207519F9" w14:textId="77777777">
        <w:tblPrEx>
          <w:tblCellMar>
            <w:left w:w="0" w:type="dxa"/>
            <w:right w:w="0" w:type="dxa"/>
          </w:tblCellMar>
        </w:tblPrEx>
        <w:trPr>
          <w:cantSplit/>
          <w:trHeight w:val="364"/>
        </w:trPr>
        <w:tc>
          <w:tcPr>
            <w:tcW w:w="942" w:type="pct"/>
            <w:vMerge/>
            <w:hideMark/>
          </w:tcPr>
          <w:p w14:paraId="6EC36AC3" w14:textId="77777777" w:rsidR="00FD6B54" w:rsidRPr="00BD7FB4" w:rsidRDefault="00FD6B54">
            <w:pPr>
              <w:jc w:val="center"/>
              <w:rPr>
                <w:color w:val="auto"/>
              </w:rPr>
            </w:pPr>
          </w:p>
        </w:tc>
        <w:tc>
          <w:tcPr>
            <w:tcW w:w="2965" w:type="pct"/>
            <w:hideMark/>
          </w:tcPr>
          <w:p w14:paraId="59E39C65" w14:textId="77777777" w:rsidR="00FD6B54" w:rsidRPr="00BD7FB4" w:rsidRDefault="00FD6B54">
            <w:pPr>
              <w:rPr>
                <w:color w:val="auto"/>
              </w:rPr>
            </w:pPr>
            <w:r w:rsidRPr="00BD7FB4">
              <w:rPr>
                <w:color w:val="auto"/>
              </w:rPr>
              <w:t>Minor psychological upset; inconvenience</w:t>
            </w:r>
          </w:p>
        </w:tc>
        <w:tc>
          <w:tcPr>
            <w:tcW w:w="1093" w:type="pct"/>
            <w:hideMark/>
          </w:tcPr>
          <w:p w14:paraId="0BF3BBB7" w14:textId="77777777" w:rsidR="00FD6B54" w:rsidRPr="00BD7FB4" w:rsidRDefault="00FD6B54">
            <w:pPr>
              <w:jc w:val="center"/>
              <w:rPr>
                <w:color w:val="auto"/>
              </w:rPr>
            </w:pPr>
            <w:r w:rsidRPr="00BD7FB4">
              <w:rPr>
                <w:color w:val="auto"/>
              </w:rPr>
              <w:t>Multiple</w:t>
            </w:r>
          </w:p>
        </w:tc>
      </w:tr>
      <w:tr w:rsidR="00FD6B54" w:rsidRPr="00BD7FB4" w14:paraId="5865C2F6" w14:textId="77777777">
        <w:tblPrEx>
          <w:tblCellMar>
            <w:left w:w="0" w:type="dxa"/>
            <w:right w:w="0" w:type="dxa"/>
          </w:tblCellMar>
        </w:tblPrEx>
        <w:trPr>
          <w:cantSplit/>
          <w:trHeight w:val="508"/>
        </w:trPr>
        <w:tc>
          <w:tcPr>
            <w:tcW w:w="942" w:type="pct"/>
            <w:hideMark/>
          </w:tcPr>
          <w:p w14:paraId="47722BAA" w14:textId="77777777" w:rsidR="00FD6B54" w:rsidRPr="00BD7FB4" w:rsidRDefault="00FD6B54">
            <w:pPr>
              <w:jc w:val="center"/>
              <w:rPr>
                <w:color w:val="auto"/>
              </w:rPr>
            </w:pPr>
            <w:r w:rsidRPr="00BD7FB4">
              <w:rPr>
                <w:color w:val="auto"/>
              </w:rPr>
              <w:t>Minor</w:t>
            </w:r>
          </w:p>
        </w:tc>
        <w:tc>
          <w:tcPr>
            <w:tcW w:w="2965" w:type="pct"/>
            <w:hideMark/>
          </w:tcPr>
          <w:p w14:paraId="0201FA2B" w14:textId="77777777" w:rsidR="00FD6B54" w:rsidRPr="00BD7FB4" w:rsidRDefault="00FD6B54">
            <w:pPr>
              <w:rPr>
                <w:color w:val="auto"/>
              </w:rPr>
            </w:pPr>
            <w:r w:rsidRPr="00BD7FB4">
              <w:rPr>
                <w:color w:val="auto"/>
              </w:rPr>
              <w:t>Minor injury from which recovery is expected in the short term; minor psychological upset; inconvenience; any negligible severity</w:t>
            </w:r>
          </w:p>
        </w:tc>
        <w:tc>
          <w:tcPr>
            <w:tcW w:w="1093" w:type="pct"/>
            <w:hideMark/>
          </w:tcPr>
          <w:p w14:paraId="20E6FC32" w14:textId="77777777" w:rsidR="00FD6B54" w:rsidRPr="00BD7FB4" w:rsidRDefault="00FD6B54">
            <w:pPr>
              <w:jc w:val="center"/>
              <w:rPr>
                <w:color w:val="auto"/>
              </w:rPr>
            </w:pPr>
            <w:r w:rsidRPr="00BD7FB4">
              <w:rPr>
                <w:color w:val="auto"/>
              </w:rPr>
              <w:t>Single</w:t>
            </w:r>
          </w:p>
        </w:tc>
      </w:tr>
    </w:tbl>
    <w:p w14:paraId="52F53C12" w14:textId="77777777" w:rsidR="00FD6B54" w:rsidRPr="00BD7FB4" w:rsidRDefault="00FD6B54" w:rsidP="00FD6B54">
      <w:pPr>
        <w:rPr>
          <w:color w:val="0070C0"/>
        </w:rPr>
      </w:pPr>
    </w:p>
    <w:p w14:paraId="250E5D2D" w14:textId="77777777" w:rsidR="00FD6B54" w:rsidRPr="00BD7FB4" w:rsidRDefault="00FD6B54" w:rsidP="00FD6B54">
      <w:pPr>
        <w:rPr>
          <w:color w:val="0070C0"/>
        </w:rPr>
      </w:pPr>
    </w:p>
    <w:p w14:paraId="33194AA2" w14:textId="77777777" w:rsidR="00FD6B54" w:rsidRPr="00BD7FB4" w:rsidRDefault="00FD6B54" w:rsidP="00FD6B54">
      <w:pPr>
        <w:rPr>
          <w:color w:val="0070C0"/>
        </w:rPr>
      </w:pPr>
    </w:p>
    <w:p w14:paraId="34EDAE2D" w14:textId="77777777" w:rsidR="00FD6B54" w:rsidRDefault="00FD6B54" w:rsidP="00FD6B54"/>
    <w:p w14:paraId="4DB75A4D" w14:textId="77777777" w:rsidR="00FD6B54" w:rsidRPr="00FD6B54" w:rsidRDefault="00FD6B54" w:rsidP="00FD6B54">
      <w:pPr>
        <w:sectPr w:rsidR="00FD6B54" w:rsidRPr="00FD6B54" w:rsidSect="002871BE">
          <w:pgSz w:w="11906" w:h="16838"/>
          <w:pgMar w:top="1021" w:right="1021" w:bottom="1021" w:left="1021" w:header="454" w:footer="557" w:gutter="0"/>
          <w:cols w:space="708"/>
          <w:docGrid w:linePitch="360"/>
        </w:sectPr>
      </w:pPr>
    </w:p>
    <w:p w14:paraId="01DA9ECD" w14:textId="25CE764C" w:rsidR="000169CD" w:rsidRDefault="000169CD" w:rsidP="00105D26">
      <w:pPr>
        <w:pStyle w:val="Heading2"/>
      </w:pPr>
      <w:bookmarkStart w:id="63" w:name="_Toc214870545"/>
      <w:r w:rsidRPr="00BD7FB4">
        <w:lastRenderedPageBreak/>
        <w:t xml:space="preserve">Appendix </w:t>
      </w:r>
      <w:r w:rsidR="0087681E">
        <w:t>B</w:t>
      </w:r>
      <w:r w:rsidRPr="00BD7FB4">
        <w:t xml:space="preserve"> –</w:t>
      </w:r>
      <w:r w:rsidR="0000670C">
        <w:t xml:space="preserve"> </w:t>
      </w:r>
      <w:r w:rsidR="00B746F6">
        <w:t xml:space="preserve">NIR </w:t>
      </w:r>
      <w:r w:rsidR="0000670C" w:rsidRPr="0000670C">
        <w:t xml:space="preserve">Deployment Controls and Safety Recommendations </w:t>
      </w:r>
      <w:r w:rsidR="00CC57D2">
        <w:t>(DCB 0160)</w:t>
      </w:r>
      <w:bookmarkEnd w:id="63"/>
    </w:p>
    <w:p w14:paraId="3F9AA702" w14:textId="18B78248" w:rsidR="00141A3C" w:rsidRDefault="00C9548A" w:rsidP="00C9548A">
      <w:pPr>
        <w:rPr>
          <w:color w:val="auto"/>
        </w:rPr>
      </w:pPr>
      <w:r w:rsidRPr="00C9548A">
        <w:t xml:space="preserve">The </w:t>
      </w:r>
      <w:r w:rsidR="0000670C" w:rsidRPr="004B561D">
        <w:rPr>
          <w:rFonts w:asciiTheme="minorHAnsi" w:hAnsiTheme="minorHAnsi" w:cstheme="minorBidi"/>
          <w:color w:val="auto"/>
          <w:sz w:val="22"/>
          <w:szCs w:val="22"/>
        </w:rPr>
        <w:t xml:space="preserve">Deployment Controls and Safety </w:t>
      </w:r>
      <w:r w:rsidR="0000670C">
        <w:rPr>
          <w:rFonts w:asciiTheme="minorHAnsi" w:hAnsiTheme="minorHAnsi" w:cstheme="minorBidi"/>
          <w:color w:val="auto"/>
          <w:sz w:val="22"/>
          <w:szCs w:val="22"/>
        </w:rPr>
        <w:t>R</w:t>
      </w:r>
      <w:r w:rsidRPr="00C9548A">
        <w:t>ecommendations outlined in this DCB 01</w:t>
      </w:r>
      <w:r w:rsidR="0000670C">
        <w:t>60</w:t>
      </w:r>
      <w:r w:rsidRPr="00C9548A">
        <w:t xml:space="preserve"> Clinical Safety Case Report for the </w:t>
      </w:r>
      <w:r w:rsidR="00CC57D2">
        <w:t xml:space="preserve">NIR </w:t>
      </w:r>
      <w:r w:rsidRPr="00C9548A">
        <w:t>solution represent risk controls and safety considerations identified during the clinical risk assessment</w:t>
      </w:r>
      <w:r w:rsidR="003327F2" w:rsidRPr="003327F2">
        <w:rPr>
          <w:color w:val="auto"/>
        </w:rPr>
        <w:t>.</w:t>
      </w:r>
    </w:p>
    <w:tbl>
      <w:tblPr>
        <w:tblStyle w:val="TableGrid"/>
        <w:tblW w:w="19132" w:type="dxa"/>
        <w:tblLook w:val="04A0" w:firstRow="1" w:lastRow="0" w:firstColumn="1" w:lastColumn="0" w:noHBand="0" w:noVBand="1"/>
      </w:tblPr>
      <w:tblGrid>
        <w:gridCol w:w="2160"/>
        <w:gridCol w:w="2160"/>
        <w:gridCol w:w="2160"/>
        <w:gridCol w:w="12652"/>
      </w:tblGrid>
      <w:tr w:rsidR="000567D4" w14:paraId="5E40C60D" w14:textId="77777777" w:rsidTr="00CD75BC">
        <w:tc>
          <w:tcPr>
            <w:tcW w:w="2160" w:type="dxa"/>
            <w:shd w:val="clear" w:color="auto" w:fill="D9D9D9" w:themeFill="background1" w:themeFillShade="D9"/>
          </w:tcPr>
          <w:p w14:paraId="7EA9D43B" w14:textId="77777777" w:rsidR="000567D4" w:rsidRDefault="000567D4" w:rsidP="00D80317">
            <w:r>
              <w:t>Hazard Group</w:t>
            </w:r>
          </w:p>
        </w:tc>
        <w:tc>
          <w:tcPr>
            <w:tcW w:w="2160" w:type="dxa"/>
            <w:shd w:val="clear" w:color="auto" w:fill="D9D9D9" w:themeFill="background1" w:themeFillShade="D9"/>
          </w:tcPr>
          <w:p w14:paraId="543FDB09" w14:textId="77777777" w:rsidR="000567D4" w:rsidRDefault="000567D4" w:rsidP="00D80317">
            <w:r>
              <w:t>Individual Hazard IDs</w:t>
            </w:r>
          </w:p>
        </w:tc>
        <w:tc>
          <w:tcPr>
            <w:tcW w:w="2160" w:type="dxa"/>
            <w:shd w:val="clear" w:color="auto" w:fill="D9D9D9" w:themeFill="background1" w:themeFillShade="D9"/>
          </w:tcPr>
          <w:p w14:paraId="30C2CEFF" w14:textId="77777777" w:rsidR="000567D4" w:rsidRDefault="000567D4" w:rsidP="00D80317">
            <w:r>
              <w:t>Hazard Sub-Group</w:t>
            </w:r>
          </w:p>
        </w:tc>
        <w:tc>
          <w:tcPr>
            <w:tcW w:w="12652" w:type="dxa"/>
            <w:shd w:val="clear" w:color="auto" w:fill="D9D9D9" w:themeFill="background1" w:themeFillShade="D9"/>
          </w:tcPr>
          <w:p w14:paraId="3C8BE79A" w14:textId="77777777" w:rsidR="000567D4" w:rsidRDefault="000567D4" w:rsidP="00D80317">
            <w:r>
              <w:t>Operational Requirements to be Maintained and Recommendations</w:t>
            </w:r>
          </w:p>
        </w:tc>
      </w:tr>
      <w:tr w:rsidR="00F4057F" w14:paraId="5A9F565E" w14:textId="77777777" w:rsidTr="00F4057F">
        <w:tc>
          <w:tcPr>
            <w:tcW w:w="2160" w:type="dxa"/>
          </w:tcPr>
          <w:p w14:paraId="75FAC905" w14:textId="77777777" w:rsidR="00F4057F" w:rsidRDefault="00F4057F" w:rsidP="00F4057F">
            <w:r>
              <w:t>Availability &amp; Retrieval Failures</w:t>
            </w:r>
          </w:p>
        </w:tc>
        <w:tc>
          <w:tcPr>
            <w:tcW w:w="2160" w:type="dxa"/>
          </w:tcPr>
          <w:p w14:paraId="30FEBF07" w14:textId="7A5D6552" w:rsidR="00F4057F" w:rsidRDefault="00F4057F" w:rsidP="00F4057F">
            <w:r w:rsidRPr="004E74A2">
              <w:t>HAZ 001, HAZ 002</w:t>
            </w:r>
          </w:p>
        </w:tc>
        <w:tc>
          <w:tcPr>
            <w:tcW w:w="2160" w:type="dxa"/>
          </w:tcPr>
          <w:p w14:paraId="37F32CE9" w14:textId="77777777" w:rsidR="00F4057F" w:rsidRDefault="00F4057F" w:rsidP="00F4057F">
            <w:r>
              <w:t>Network &amp; Infrastructure Availability</w:t>
            </w:r>
          </w:p>
        </w:tc>
        <w:tc>
          <w:tcPr>
            <w:tcW w:w="12652" w:type="dxa"/>
          </w:tcPr>
          <w:p w14:paraId="070EB76C" w14:textId="77777777" w:rsidR="00F4057F" w:rsidRDefault="00F4057F" w:rsidP="00F4057F">
            <w:r>
              <w:t>Organisations must maintain high network uptime and monitor PACS/VNA gateway performance continuously. Network redundancy, load balancing, and failover configurations must be validated and documented. Automated alerts should notify support teams of connectivity issues, and escalation procedures should be triggered for sustained outages.</w:t>
            </w:r>
          </w:p>
        </w:tc>
      </w:tr>
      <w:tr w:rsidR="00F4057F" w14:paraId="7C45C1AA" w14:textId="77777777" w:rsidTr="00F4057F">
        <w:tc>
          <w:tcPr>
            <w:tcW w:w="2160" w:type="dxa"/>
          </w:tcPr>
          <w:p w14:paraId="2DC12D77" w14:textId="77777777" w:rsidR="00F4057F" w:rsidRDefault="00F4057F" w:rsidP="00F4057F">
            <w:r>
              <w:t>Availability &amp; Retrieval Failures</w:t>
            </w:r>
          </w:p>
        </w:tc>
        <w:tc>
          <w:tcPr>
            <w:tcW w:w="2160" w:type="dxa"/>
          </w:tcPr>
          <w:p w14:paraId="66F9F57C" w14:textId="6C05003C" w:rsidR="00F4057F" w:rsidRDefault="00F4057F" w:rsidP="00F4057F">
            <w:r w:rsidRPr="004E74A2">
              <w:t>HAZ 001, HAZ 003, HAZ 004</w:t>
            </w:r>
          </w:p>
        </w:tc>
        <w:tc>
          <w:tcPr>
            <w:tcW w:w="2160" w:type="dxa"/>
          </w:tcPr>
          <w:p w14:paraId="1E4B8C49" w14:textId="77777777" w:rsidR="00F4057F" w:rsidRDefault="00F4057F" w:rsidP="00F4057F">
            <w:r>
              <w:t>Image Retrieval Workflow</w:t>
            </w:r>
          </w:p>
        </w:tc>
        <w:tc>
          <w:tcPr>
            <w:tcW w:w="12652" w:type="dxa"/>
          </w:tcPr>
          <w:p w14:paraId="5351981F" w14:textId="77777777" w:rsidR="00F4057F" w:rsidRDefault="00F4057F" w:rsidP="00F4057F">
            <w:r>
              <w:t>System behaviour must ensure complete retrieval of images and related metadata across federated networks. Partial query results must generate explicit user notifications. Retry logic must be implemented, and timeouts configured to prevent misleading outputs. Testing should include simulated retrieval failures.</w:t>
            </w:r>
          </w:p>
        </w:tc>
      </w:tr>
      <w:tr w:rsidR="00F4057F" w14:paraId="0DA8BA17" w14:textId="77777777" w:rsidTr="00F4057F">
        <w:tc>
          <w:tcPr>
            <w:tcW w:w="2160" w:type="dxa"/>
          </w:tcPr>
          <w:p w14:paraId="1B237FE3" w14:textId="77777777" w:rsidR="00F4057F" w:rsidRDefault="00F4057F" w:rsidP="00F4057F">
            <w:r>
              <w:t>Availability &amp; Retrieval Failures</w:t>
            </w:r>
          </w:p>
        </w:tc>
        <w:tc>
          <w:tcPr>
            <w:tcW w:w="2160" w:type="dxa"/>
          </w:tcPr>
          <w:p w14:paraId="3BEDD4F2" w14:textId="16E6EAF8" w:rsidR="00F4057F" w:rsidRDefault="00F4057F" w:rsidP="00F4057F">
            <w:r w:rsidRPr="004E74A2">
              <w:t>HAZ 001, HAZ 004, HAZ 002</w:t>
            </w:r>
          </w:p>
        </w:tc>
        <w:tc>
          <w:tcPr>
            <w:tcW w:w="2160" w:type="dxa"/>
          </w:tcPr>
          <w:p w14:paraId="2E0F2B92" w14:textId="77777777" w:rsidR="00F4057F" w:rsidRDefault="00F4057F" w:rsidP="00F4057F">
            <w:r>
              <w:t>Operational Response &amp; Escalation</w:t>
            </w:r>
          </w:p>
        </w:tc>
        <w:tc>
          <w:tcPr>
            <w:tcW w:w="12652" w:type="dxa"/>
          </w:tcPr>
          <w:p w14:paraId="170749D9" w14:textId="77777777" w:rsidR="00F4057F" w:rsidRDefault="00F4057F" w:rsidP="00F4057F">
            <w:r>
              <w:t>Local SOPs must define fallback options when image retrieval fails. Clinical and technical users must be trained on escalation routes and how to differentiate between local and remote issues. Tabletop exercises should verify readiness and escalation effectiveness.</w:t>
            </w:r>
          </w:p>
        </w:tc>
      </w:tr>
      <w:tr w:rsidR="00F4057F" w14:paraId="7F1DFE29" w14:textId="77777777" w:rsidTr="00F4057F">
        <w:tc>
          <w:tcPr>
            <w:tcW w:w="2160" w:type="dxa"/>
          </w:tcPr>
          <w:p w14:paraId="1CF7B6EF" w14:textId="77777777" w:rsidR="00F4057F" w:rsidRDefault="00F4057F" w:rsidP="00F4057F">
            <w:r>
              <w:t>Data Quality &amp; Patient Identification Errors</w:t>
            </w:r>
          </w:p>
        </w:tc>
        <w:tc>
          <w:tcPr>
            <w:tcW w:w="2160" w:type="dxa"/>
          </w:tcPr>
          <w:p w14:paraId="6631B99A" w14:textId="33D0F899" w:rsidR="00F4057F" w:rsidRDefault="00F4057F" w:rsidP="00F4057F">
            <w:r w:rsidRPr="004E74A2">
              <w:t>HAZ 003, HAZ 005</w:t>
            </w:r>
          </w:p>
        </w:tc>
        <w:tc>
          <w:tcPr>
            <w:tcW w:w="2160" w:type="dxa"/>
          </w:tcPr>
          <w:p w14:paraId="1CAA2D6D" w14:textId="77777777" w:rsidR="00F4057F" w:rsidRDefault="00F4057F" w:rsidP="00F4057F">
            <w:r>
              <w:t>Metadata Conformance &amp; Validation</w:t>
            </w:r>
          </w:p>
        </w:tc>
        <w:tc>
          <w:tcPr>
            <w:tcW w:w="12652" w:type="dxa"/>
          </w:tcPr>
          <w:p w14:paraId="479D7854" w14:textId="45F6C8EE" w:rsidR="00F4057F" w:rsidRDefault="00F4057F" w:rsidP="00F4057F">
            <w:r>
              <w:t>All connected systems must perform schema validation before publishing data to the NIR. Incomplete or malformed metadata must be rejected automatically. Supplier conformance tests during onboarding must validate compliance with IHE XDS and XCA profiles.</w:t>
            </w:r>
          </w:p>
        </w:tc>
      </w:tr>
      <w:tr w:rsidR="00F4057F" w14:paraId="736B9A61" w14:textId="77777777" w:rsidTr="00F4057F">
        <w:tc>
          <w:tcPr>
            <w:tcW w:w="2160" w:type="dxa"/>
          </w:tcPr>
          <w:p w14:paraId="3CAC6E52" w14:textId="77777777" w:rsidR="00F4057F" w:rsidRDefault="00F4057F" w:rsidP="00F4057F">
            <w:r>
              <w:t>Data Quality &amp; Patient Identification Errors</w:t>
            </w:r>
          </w:p>
        </w:tc>
        <w:tc>
          <w:tcPr>
            <w:tcW w:w="2160" w:type="dxa"/>
          </w:tcPr>
          <w:p w14:paraId="3E110A58" w14:textId="72DDCA83" w:rsidR="00F4057F" w:rsidRDefault="00F4057F" w:rsidP="00F4057F">
            <w:r w:rsidRPr="004E74A2">
              <w:t>HAZ 005</w:t>
            </w:r>
          </w:p>
        </w:tc>
        <w:tc>
          <w:tcPr>
            <w:tcW w:w="2160" w:type="dxa"/>
          </w:tcPr>
          <w:p w14:paraId="2EC6A18B" w14:textId="77777777" w:rsidR="00F4057F" w:rsidRDefault="00F4057F" w:rsidP="00F4057F">
            <w:r>
              <w:t>Patient Identity Management</w:t>
            </w:r>
          </w:p>
        </w:tc>
        <w:tc>
          <w:tcPr>
            <w:tcW w:w="12652" w:type="dxa"/>
          </w:tcPr>
          <w:p w14:paraId="15302797" w14:textId="77777777" w:rsidR="00F4057F" w:rsidRDefault="00F4057F" w:rsidP="00F4057F">
            <w:r>
              <w:t>Patient identifiers must be validated against authoritative sources, and merge/unmerge processes logged. Systems must prevent accidental overwrites or duplicate creation. Regular audits of patient demographic consistency across federated systems are required.</w:t>
            </w:r>
          </w:p>
        </w:tc>
      </w:tr>
      <w:tr w:rsidR="00F4057F" w14:paraId="691F444A" w14:textId="77777777" w:rsidTr="00F4057F">
        <w:tc>
          <w:tcPr>
            <w:tcW w:w="2160" w:type="dxa"/>
          </w:tcPr>
          <w:p w14:paraId="020E62DE" w14:textId="77777777" w:rsidR="00F4057F" w:rsidRDefault="00F4057F" w:rsidP="00F4057F">
            <w:r>
              <w:t>Data Quality &amp; Patient Identification Errors</w:t>
            </w:r>
          </w:p>
        </w:tc>
        <w:tc>
          <w:tcPr>
            <w:tcW w:w="2160" w:type="dxa"/>
          </w:tcPr>
          <w:p w14:paraId="7CF39A37" w14:textId="41AF07FD" w:rsidR="00F4057F" w:rsidRDefault="00F4057F" w:rsidP="00F4057F">
            <w:r w:rsidRPr="004E74A2">
              <w:t>HAZ 003, HAZ 005</w:t>
            </w:r>
          </w:p>
        </w:tc>
        <w:tc>
          <w:tcPr>
            <w:tcW w:w="2160" w:type="dxa"/>
          </w:tcPr>
          <w:p w14:paraId="28701955" w14:textId="77777777" w:rsidR="00F4057F" w:rsidRDefault="00F4057F" w:rsidP="00F4057F">
            <w:r>
              <w:t>Data Provenance &amp; Traceability</w:t>
            </w:r>
          </w:p>
        </w:tc>
        <w:tc>
          <w:tcPr>
            <w:tcW w:w="12652" w:type="dxa"/>
          </w:tcPr>
          <w:p w14:paraId="6F88AB44" w14:textId="77777777" w:rsidR="00F4057F" w:rsidRDefault="00F4057F" w:rsidP="00F4057F">
            <w:r>
              <w:t>The NIR must maintain the 'single source of truth' principle. Audit logs must document the origin of each dataset and timestamp of registration. Provenance records should be reviewed periodically to ensure traceability and prevent data drift.</w:t>
            </w:r>
          </w:p>
        </w:tc>
      </w:tr>
      <w:tr w:rsidR="00F4057F" w14:paraId="6C59A011" w14:textId="77777777" w:rsidTr="00F4057F">
        <w:tc>
          <w:tcPr>
            <w:tcW w:w="2160" w:type="dxa"/>
          </w:tcPr>
          <w:p w14:paraId="6F8BBCFF" w14:textId="77777777" w:rsidR="00F4057F" w:rsidRDefault="00F4057F" w:rsidP="00F4057F">
            <w:r>
              <w:t>Security, Privacy &amp; Access Control Failures</w:t>
            </w:r>
          </w:p>
        </w:tc>
        <w:tc>
          <w:tcPr>
            <w:tcW w:w="2160" w:type="dxa"/>
          </w:tcPr>
          <w:p w14:paraId="5EDE74FA" w14:textId="72D24D3F" w:rsidR="00F4057F" w:rsidRDefault="00F4057F" w:rsidP="00F4057F">
            <w:r w:rsidRPr="004E74A2">
              <w:t>HAZ 006</w:t>
            </w:r>
          </w:p>
        </w:tc>
        <w:tc>
          <w:tcPr>
            <w:tcW w:w="2160" w:type="dxa"/>
          </w:tcPr>
          <w:p w14:paraId="173A7BDB" w14:textId="77777777" w:rsidR="00F4057F" w:rsidRDefault="00F4057F" w:rsidP="00F4057F">
            <w:r>
              <w:t>Identity Federation &amp; Authentication</w:t>
            </w:r>
          </w:p>
        </w:tc>
        <w:tc>
          <w:tcPr>
            <w:tcW w:w="12652" w:type="dxa"/>
          </w:tcPr>
          <w:p w14:paraId="39AE3CA7" w14:textId="77777777" w:rsidR="00F4057F" w:rsidRDefault="00F4057F" w:rsidP="00F4057F">
            <w:r>
              <w:t>All NIR users must authenticate via NHS Identity or federated access controls. Access tokens must be time-bound and traceable. Failed authentication attempts should be logged and reviewed for anomalies.</w:t>
            </w:r>
          </w:p>
        </w:tc>
      </w:tr>
      <w:tr w:rsidR="00F4057F" w14:paraId="571CBEE3" w14:textId="77777777" w:rsidTr="00F4057F">
        <w:tc>
          <w:tcPr>
            <w:tcW w:w="2160" w:type="dxa"/>
          </w:tcPr>
          <w:p w14:paraId="455E9E5E" w14:textId="77777777" w:rsidR="00F4057F" w:rsidRDefault="00F4057F" w:rsidP="00F4057F">
            <w:r>
              <w:t>Security, Privacy &amp; Access Control Failures</w:t>
            </w:r>
          </w:p>
        </w:tc>
        <w:tc>
          <w:tcPr>
            <w:tcW w:w="2160" w:type="dxa"/>
          </w:tcPr>
          <w:p w14:paraId="59EE4F18" w14:textId="08EA7003" w:rsidR="00F4057F" w:rsidRDefault="00F4057F" w:rsidP="00F4057F">
            <w:r w:rsidRPr="004E74A2">
              <w:t>HAZ 006</w:t>
            </w:r>
          </w:p>
        </w:tc>
        <w:tc>
          <w:tcPr>
            <w:tcW w:w="2160" w:type="dxa"/>
          </w:tcPr>
          <w:p w14:paraId="265D287B" w14:textId="77777777" w:rsidR="00F4057F" w:rsidRDefault="00F4057F" w:rsidP="00F4057F">
            <w:r>
              <w:t>Role-Based Access &amp; Least Privilege</w:t>
            </w:r>
          </w:p>
        </w:tc>
        <w:tc>
          <w:tcPr>
            <w:tcW w:w="12652" w:type="dxa"/>
          </w:tcPr>
          <w:p w14:paraId="5EE6CB93" w14:textId="77777777" w:rsidR="00F4057F" w:rsidRDefault="00F4057F" w:rsidP="00F4057F">
            <w:r>
              <w:t>Access permissions must be role-based and reviewed quarterly to ensure alignment with job functions. Clinical data should only be accessible to authorised staff, and audit trails must capture all image access events.</w:t>
            </w:r>
          </w:p>
        </w:tc>
      </w:tr>
      <w:tr w:rsidR="00F4057F" w14:paraId="5C0EBB23" w14:textId="77777777" w:rsidTr="00F4057F">
        <w:tc>
          <w:tcPr>
            <w:tcW w:w="2160" w:type="dxa"/>
          </w:tcPr>
          <w:p w14:paraId="04D3E74E" w14:textId="77777777" w:rsidR="00F4057F" w:rsidRDefault="00F4057F" w:rsidP="00F4057F">
            <w:r>
              <w:t>Security, Privacy &amp; Access Control Failures</w:t>
            </w:r>
          </w:p>
        </w:tc>
        <w:tc>
          <w:tcPr>
            <w:tcW w:w="2160" w:type="dxa"/>
          </w:tcPr>
          <w:p w14:paraId="505D50D6" w14:textId="24D7DBF6" w:rsidR="00F4057F" w:rsidRDefault="00F4057F" w:rsidP="00F4057F">
            <w:r w:rsidRPr="004E74A2">
              <w:t>HAZ 006</w:t>
            </w:r>
          </w:p>
        </w:tc>
        <w:tc>
          <w:tcPr>
            <w:tcW w:w="2160" w:type="dxa"/>
          </w:tcPr>
          <w:p w14:paraId="26F2EFBF" w14:textId="77777777" w:rsidR="00F4057F" w:rsidRDefault="00F4057F" w:rsidP="00F4057F">
            <w:r>
              <w:t>Encryption &amp; Data Transmission Security</w:t>
            </w:r>
          </w:p>
        </w:tc>
        <w:tc>
          <w:tcPr>
            <w:tcW w:w="12652" w:type="dxa"/>
          </w:tcPr>
          <w:p w14:paraId="50E4293C" w14:textId="77777777" w:rsidR="00F4057F" w:rsidRDefault="00F4057F" w:rsidP="00F4057F">
            <w:r>
              <w:t>All communication between NIR components and connected systems must use TLS 1.2+ encryption. Certificate management must follow NHS Cyber Security guidelines, with regular rotation and validation. Breach response procedures must be rehearsed annually.</w:t>
            </w:r>
          </w:p>
        </w:tc>
      </w:tr>
      <w:tr w:rsidR="00F4057F" w14:paraId="5B5511C7" w14:textId="77777777" w:rsidTr="00F4057F">
        <w:tc>
          <w:tcPr>
            <w:tcW w:w="2160" w:type="dxa"/>
          </w:tcPr>
          <w:p w14:paraId="3C2E0D79" w14:textId="77777777" w:rsidR="00F4057F" w:rsidRDefault="00F4057F" w:rsidP="00F4057F">
            <w:r>
              <w:t>Governance &amp; Operational Risks</w:t>
            </w:r>
          </w:p>
        </w:tc>
        <w:tc>
          <w:tcPr>
            <w:tcW w:w="2160" w:type="dxa"/>
          </w:tcPr>
          <w:p w14:paraId="4DC7BA0A" w14:textId="081E410A" w:rsidR="00F4057F" w:rsidRDefault="00F4057F" w:rsidP="00F4057F">
            <w:r w:rsidRPr="004E74A2">
              <w:t>HAZ 007, HAZ 008</w:t>
            </w:r>
          </w:p>
        </w:tc>
        <w:tc>
          <w:tcPr>
            <w:tcW w:w="2160" w:type="dxa"/>
          </w:tcPr>
          <w:p w14:paraId="0238FEBC" w14:textId="77777777" w:rsidR="00F4057F" w:rsidRDefault="00F4057F" w:rsidP="00F4057F">
            <w:r>
              <w:t>Governance &amp; Accountability Structures</w:t>
            </w:r>
          </w:p>
        </w:tc>
        <w:tc>
          <w:tcPr>
            <w:tcW w:w="12652" w:type="dxa"/>
          </w:tcPr>
          <w:p w14:paraId="5F911164" w14:textId="77777777" w:rsidR="00F4057F" w:rsidRDefault="00F4057F" w:rsidP="00F4057F">
            <w:r>
              <w:t>Each trust must define governance roles for NIR-related incidents and maintain documented accountability structures. Governance meetings should include periodic review of clinical safety reports and escalation trends.</w:t>
            </w:r>
          </w:p>
        </w:tc>
      </w:tr>
      <w:tr w:rsidR="00F4057F" w14:paraId="0464B4EE" w14:textId="77777777" w:rsidTr="00F4057F">
        <w:tc>
          <w:tcPr>
            <w:tcW w:w="2160" w:type="dxa"/>
          </w:tcPr>
          <w:p w14:paraId="6997F813" w14:textId="77777777" w:rsidR="00F4057F" w:rsidRDefault="00F4057F" w:rsidP="00F4057F">
            <w:r>
              <w:t>Governance &amp; Operational Risks</w:t>
            </w:r>
          </w:p>
        </w:tc>
        <w:tc>
          <w:tcPr>
            <w:tcW w:w="2160" w:type="dxa"/>
          </w:tcPr>
          <w:p w14:paraId="0614E99E" w14:textId="0BB1D9DA" w:rsidR="00F4057F" w:rsidRDefault="00F4057F" w:rsidP="00F4057F">
            <w:r w:rsidRPr="004E74A2">
              <w:t>HAZ 002, HAZ 006</w:t>
            </w:r>
          </w:p>
        </w:tc>
        <w:tc>
          <w:tcPr>
            <w:tcW w:w="2160" w:type="dxa"/>
          </w:tcPr>
          <w:p w14:paraId="6B52F769" w14:textId="77777777" w:rsidR="00F4057F" w:rsidRDefault="00F4057F" w:rsidP="00F4057F">
            <w:r>
              <w:t>Incident Escalation &amp; Safety Oversight</w:t>
            </w:r>
          </w:p>
        </w:tc>
        <w:tc>
          <w:tcPr>
            <w:tcW w:w="12652" w:type="dxa"/>
          </w:tcPr>
          <w:p w14:paraId="68EA6D01" w14:textId="77777777" w:rsidR="00F4057F" w:rsidRDefault="00F4057F" w:rsidP="00F4057F">
            <w:r>
              <w:t>Incident management must align with NHS England’s national escalation framework. Clinical Safety Officers must be informed of all incidents with potential patient impact. Incident reporting metrics should be reviewed monthly.</w:t>
            </w:r>
          </w:p>
        </w:tc>
      </w:tr>
      <w:tr w:rsidR="00F4057F" w14:paraId="4824AD9A" w14:textId="77777777" w:rsidTr="00F4057F">
        <w:tc>
          <w:tcPr>
            <w:tcW w:w="2160" w:type="dxa"/>
          </w:tcPr>
          <w:p w14:paraId="267DC1B7" w14:textId="77777777" w:rsidR="00F4057F" w:rsidRDefault="00F4057F" w:rsidP="00F4057F">
            <w:r>
              <w:lastRenderedPageBreak/>
              <w:t>Governance &amp; Operational Risks</w:t>
            </w:r>
          </w:p>
        </w:tc>
        <w:tc>
          <w:tcPr>
            <w:tcW w:w="2160" w:type="dxa"/>
          </w:tcPr>
          <w:p w14:paraId="417D463F" w14:textId="40FF4308" w:rsidR="00F4057F" w:rsidRDefault="00F4057F" w:rsidP="00F4057F">
            <w:r w:rsidRPr="004E74A2">
              <w:t>HAZ 001, HAZ 003, HAZ 004, HAZ 005</w:t>
            </w:r>
          </w:p>
        </w:tc>
        <w:tc>
          <w:tcPr>
            <w:tcW w:w="2160" w:type="dxa"/>
          </w:tcPr>
          <w:p w14:paraId="7DFCC4A3" w14:textId="77777777" w:rsidR="00F4057F" w:rsidRDefault="00F4057F" w:rsidP="00F4057F">
            <w:r>
              <w:t>Training &amp; Readiness Testing</w:t>
            </w:r>
          </w:p>
        </w:tc>
        <w:tc>
          <w:tcPr>
            <w:tcW w:w="12652" w:type="dxa"/>
          </w:tcPr>
          <w:p w14:paraId="651094AD" w14:textId="77777777" w:rsidR="00F4057F" w:rsidRDefault="00F4057F" w:rsidP="00F4057F">
            <w:r>
              <w:t>Clinical and technical teams must undergo induction training on NIR use, safety principles, and failure procedures. Tabletop and live exercises should validate understanding and readiness at least annually.</w:t>
            </w:r>
          </w:p>
        </w:tc>
      </w:tr>
      <w:tr w:rsidR="00F4057F" w14:paraId="3ACF6458" w14:textId="77777777" w:rsidTr="00F4057F">
        <w:tc>
          <w:tcPr>
            <w:tcW w:w="2160" w:type="dxa"/>
          </w:tcPr>
          <w:p w14:paraId="4224D758" w14:textId="77777777" w:rsidR="00F4057F" w:rsidRDefault="00F4057F" w:rsidP="00F4057F">
            <w:r>
              <w:t>Interoperability &amp; Protocol Translation Risks</w:t>
            </w:r>
          </w:p>
        </w:tc>
        <w:tc>
          <w:tcPr>
            <w:tcW w:w="2160" w:type="dxa"/>
          </w:tcPr>
          <w:p w14:paraId="1A66221D" w14:textId="1BBB64A6" w:rsidR="00F4057F" w:rsidRDefault="00F4057F" w:rsidP="00F4057F">
            <w:r w:rsidRPr="004E74A2">
              <w:t>HAZ 003, HAZ 004, HAZ 009</w:t>
            </w:r>
          </w:p>
        </w:tc>
        <w:tc>
          <w:tcPr>
            <w:tcW w:w="2160" w:type="dxa"/>
          </w:tcPr>
          <w:p w14:paraId="5B376F87" w14:textId="278733B8" w:rsidR="00F4057F" w:rsidRDefault="00F4057F" w:rsidP="00F4057F">
            <w:r>
              <w:t>IHE Profile Conformance (XDS, XCA)</w:t>
            </w:r>
          </w:p>
        </w:tc>
        <w:tc>
          <w:tcPr>
            <w:tcW w:w="12652" w:type="dxa"/>
          </w:tcPr>
          <w:p w14:paraId="78BE6256" w14:textId="08D7EAD8" w:rsidR="00F4057F" w:rsidRDefault="00F4057F" w:rsidP="00F4057F">
            <w:r>
              <w:t>Suppliers must prove conformance with IHE XDS and XCA standards through onboarding testing. Non-conformant implementations must be risk assessed and formally accepted by NHS England.</w:t>
            </w:r>
          </w:p>
        </w:tc>
      </w:tr>
      <w:tr w:rsidR="00F4057F" w14:paraId="273D41E4" w14:textId="77777777" w:rsidTr="00F4057F">
        <w:tc>
          <w:tcPr>
            <w:tcW w:w="2160" w:type="dxa"/>
          </w:tcPr>
          <w:p w14:paraId="41495B69" w14:textId="77777777" w:rsidR="00F4057F" w:rsidRDefault="00F4057F" w:rsidP="00F4057F">
            <w:r>
              <w:t>Interoperability &amp; Protocol Translation Risks</w:t>
            </w:r>
          </w:p>
        </w:tc>
        <w:tc>
          <w:tcPr>
            <w:tcW w:w="2160" w:type="dxa"/>
          </w:tcPr>
          <w:p w14:paraId="3644A403" w14:textId="7F10E681" w:rsidR="00F4057F" w:rsidRDefault="00F4057F" w:rsidP="00F4057F">
            <w:r w:rsidRPr="004E74A2">
              <w:t>HAZ 009</w:t>
            </w:r>
          </w:p>
        </w:tc>
        <w:tc>
          <w:tcPr>
            <w:tcW w:w="2160" w:type="dxa"/>
          </w:tcPr>
          <w:p w14:paraId="0254CAE7" w14:textId="5DB71592" w:rsidR="00F4057F" w:rsidRDefault="00F4057F" w:rsidP="00F4057F">
            <w:r>
              <w:t>API &amp; Future Standards Alignment</w:t>
            </w:r>
          </w:p>
        </w:tc>
        <w:tc>
          <w:tcPr>
            <w:tcW w:w="12652" w:type="dxa"/>
          </w:tcPr>
          <w:p w14:paraId="09F8C229" w14:textId="53C366BE" w:rsidR="00F4057F" w:rsidRDefault="00F4057F" w:rsidP="00F4057F">
            <w:r>
              <w:t>Future development phases must ensure APIs align with evolving interoperability frameworks. Backward compatibility testing must confirm safe transition between standards.</w:t>
            </w:r>
          </w:p>
        </w:tc>
      </w:tr>
      <w:tr w:rsidR="00F4057F" w14:paraId="2533AFA2" w14:textId="77777777" w:rsidTr="00F4057F">
        <w:tc>
          <w:tcPr>
            <w:tcW w:w="2160" w:type="dxa"/>
          </w:tcPr>
          <w:p w14:paraId="74158BA0" w14:textId="77777777" w:rsidR="00F4057F" w:rsidRDefault="00F4057F" w:rsidP="00F4057F">
            <w:r>
              <w:t>Interoperability &amp; Protocol Translation Risks</w:t>
            </w:r>
          </w:p>
        </w:tc>
        <w:tc>
          <w:tcPr>
            <w:tcW w:w="2160" w:type="dxa"/>
          </w:tcPr>
          <w:p w14:paraId="799A78D6" w14:textId="4667D787" w:rsidR="00F4057F" w:rsidRDefault="00F4057F" w:rsidP="00F4057F">
            <w:r w:rsidRPr="004E74A2">
              <w:t>HAZ 003, HAZ 004, HAZ 010</w:t>
            </w:r>
          </w:p>
        </w:tc>
        <w:tc>
          <w:tcPr>
            <w:tcW w:w="2160" w:type="dxa"/>
          </w:tcPr>
          <w:p w14:paraId="361AAE24" w14:textId="77777777" w:rsidR="00F4057F" w:rsidRDefault="00F4057F" w:rsidP="00F4057F">
            <w:r>
              <w:t>Cross-Vendor Translation &amp; Gateway Behaviour</w:t>
            </w:r>
          </w:p>
        </w:tc>
        <w:tc>
          <w:tcPr>
            <w:tcW w:w="12652" w:type="dxa"/>
          </w:tcPr>
          <w:p w14:paraId="3897736B" w14:textId="77777777" w:rsidR="00F4057F" w:rsidRDefault="00F4057F" w:rsidP="00F4057F">
            <w:r>
              <w:t>Gateway components must handle message translation consistently across vendor systems. Monitoring must detect translation errors and latency. Vendors must participate in interoperability testing during each major release.</w:t>
            </w:r>
          </w:p>
        </w:tc>
      </w:tr>
      <w:tr w:rsidR="00C464BA" w14:paraId="4F237BEA" w14:textId="77777777" w:rsidTr="00C464BA">
        <w:trPr>
          <w:trHeight w:val="1077"/>
        </w:trPr>
        <w:tc>
          <w:tcPr>
            <w:tcW w:w="1588" w:type="dxa"/>
            <w:vAlign w:val="center"/>
          </w:tcPr>
          <w:p w14:paraId="0D609560" w14:textId="4D75FD2B" w:rsidR="00C464BA" w:rsidRPr="00C464BA" w:rsidRDefault="00C464BA" w:rsidP="00C464BA">
            <w:pPr>
              <w:rPr>
                <w:rFonts w:asciiTheme="minorHAnsi" w:hAnsiTheme="minorHAnsi" w:cstheme="minorHAnsi"/>
              </w:rPr>
            </w:pPr>
            <w:r w:rsidRPr="00C464BA">
              <w:rPr>
                <w:rFonts w:asciiTheme="minorHAnsi" w:hAnsiTheme="minorHAnsi" w:cstheme="minorHAnsi"/>
                <w:color w:val="auto"/>
              </w:rPr>
              <w:t>Data Retrieval &amp; Availability Failures</w:t>
            </w:r>
          </w:p>
        </w:tc>
        <w:tc>
          <w:tcPr>
            <w:tcW w:w="2160" w:type="dxa"/>
            <w:vAlign w:val="center"/>
          </w:tcPr>
          <w:p w14:paraId="4D4F3B9F" w14:textId="5402248E" w:rsidR="00C464BA" w:rsidRPr="00C464BA" w:rsidRDefault="00C464BA" w:rsidP="00C464BA">
            <w:pPr>
              <w:rPr>
                <w:rFonts w:asciiTheme="minorHAnsi" w:hAnsiTheme="minorHAnsi" w:cstheme="minorHAnsi"/>
              </w:rPr>
            </w:pPr>
            <w:r w:rsidRPr="00C464BA">
              <w:rPr>
                <w:rFonts w:asciiTheme="minorHAnsi" w:hAnsiTheme="minorHAnsi" w:cstheme="minorHAnsi"/>
                <w:color w:val="auto"/>
              </w:rPr>
              <w:t>HAZ011</w:t>
            </w:r>
          </w:p>
        </w:tc>
        <w:tc>
          <w:tcPr>
            <w:tcW w:w="2160" w:type="dxa"/>
          </w:tcPr>
          <w:p w14:paraId="73AF21FE" w14:textId="4C766825" w:rsidR="00C464BA" w:rsidRPr="00C464BA" w:rsidRDefault="00C464BA" w:rsidP="00C464BA">
            <w:pPr>
              <w:rPr>
                <w:rFonts w:asciiTheme="minorHAnsi" w:hAnsiTheme="minorHAnsi" w:cstheme="minorHAnsi"/>
              </w:rPr>
            </w:pPr>
            <w:r w:rsidRPr="00C464BA">
              <w:rPr>
                <w:rFonts w:asciiTheme="minorHAnsi" w:hAnsiTheme="minorHAnsi" w:cstheme="minorHAnsi"/>
                <w:color w:val="auto"/>
              </w:rPr>
              <w:t>HCID exclusion / incomplete query broadcast</w:t>
            </w:r>
          </w:p>
        </w:tc>
        <w:tc>
          <w:tcPr>
            <w:tcW w:w="12652" w:type="dxa"/>
            <w:vAlign w:val="center"/>
          </w:tcPr>
          <w:p w14:paraId="74786733" w14:textId="6ABB6919" w:rsidR="00C464BA" w:rsidRPr="00C464BA" w:rsidRDefault="00C464BA" w:rsidP="00C464BA">
            <w:pPr>
              <w:rPr>
                <w:rFonts w:asciiTheme="minorHAnsi" w:hAnsiTheme="minorHAnsi" w:cstheme="minorHAnsi"/>
                <w:color w:val="auto"/>
              </w:rPr>
            </w:pPr>
            <w:r w:rsidRPr="00C464BA">
              <w:rPr>
                <w:rFonts w:asciiTheme="minorHAnsi" w:hAnsiTheme="minorHAnsi" w:cstheme="minorHAnsi"/>
                <w:color w:val="auto"/>
              </w:rPr>
              <w:t xml:space="preserve">Confirm HCID mappings and direct integration assumptions during onboarding; validate exclusion lists; implement change notification process; monitor completeness; define escalation and fallback SOPs. </w:t>
            </w:r>
          </w:p>
          <w:p w14:paraId="01C1B500" w14:textId="77777777" w:rsidR="00C464BA" w:rsidRPr="00C464BA" w:rsidRDefault="00C464BA" w:rsidP="00C464BA">
            <w:pPr>
              <w:rPr>
                <w:rFonts w:asciiTheme="minorHAnsi" w:hAnsiTheme="minorHAnsi" w:cstheme="minorHAnsi"/>
                <w:color w:val="auto"/>
              </w:rPr>
            </w:pPr>
          </w:p>
          <w:p w14:paraId="20B8084F" w14:textId="49B87242" w:rsidR="00C464BA" w:rsidRPr="00C464BA" w:rsidRDefault="00C464BA" w:rsidP="00C464BA">
            <w:pPr>
              <w:rPr>
                <w:rFonts w:asciiTheme="minorHAnsi" w:hAnsiTheme="minorHAnsi" w:cstheme="minorHAnsi"/>
              </w:rPr>
            </w:pPr>
          </w:p>
        </w:tc>
      </w:tr>
    </w:tbl>
    <w:p w14:paraId="2E77859A" w14:textId="61E56808" w:rsidR="00ED1859" w:rsidRDefault="00ED1859" w:rsidP="002D46AF"/>
    <w:p w14:paraId="38D4F3FE" w14:textId="683590EB" w:rsidR="00ED1859" w:rsidRDefault="00ED1859">
      <w:pPr>
        <w:spacing w:after="0"/>
        <w:textboxTightWrap w:val="none"/>
      </w:pPr>
    </w:p>
    <w:p w14:paraId="06A69DA1" w14:textId="339A291D" w:rsidR="00237E6C" w:rsidRDefault="00237E6C" w:rsidP="002D46AF"/>
    <w:p w14:paraId="716772A0" w14:textId="77777777" w:rsidR="00957112" w:rsidRDefault="00957112" w:rsidP="00164338">
      <w:pPr>
        <w:jc w:val="center"/>
      </w:pPr>
    </w:p>
    <w:p w14:paraId="5C3E6CEB" w14:textId="29DF2213" w:rsidR="00231753" w:rsidRPr="002D46AF" w:rsidRDefault="00231753" w:rsidP="00164338">
      <w:pPr>
        <w:jc w:val="center"/>
        <w:sectPr w:rsidR="00231753" w:rsidRPr="002D46AF" w:rsidSect="007A2BE1">
          <w:pgSz w:w="23811" w:h="16838" w:orient="landscape" w:code="8"/>
          <w:pgMar w:top="1021" w:right="1021" w:bottom="1021" w:left="1021" w:header="454" w:footer="557" w:gutter="0"/>
          <w:cols w:space="708"/>
          <w:docGrid w:linePitch="360"/>
        </w:sectPr>
      </w:pPr>
    </w:p>
    <w:p w14:paraId="26635B31" w14:textId="77777777" w:rsidR="00C92603" w:rsidRDefault="00C92603" w:rsidP="00105D26">
      <w:pPr>
        <w:pStyle w:val="Heading2"/>
      </w:pPr>
      <w:bookmarkStart w:id="64" w:name="_Toc214870546"/>
      <w:bookmarkEnd w:id="61"/>
      <w:r w:rsidRPr="00BD7FB4">
        <w:lastRenderedPageBreak/>
        <w:t xml:space="preserve">Appendix </w:t>
      </w:r>
      <w:r>
        <w:t>C</w:t>
      </w:r>
      <w:r w:rsidRPr="00BD7FB4">
        <w:t xml:space="preserve"> –</w:t>
      </w:r>
      <w:r>
        <w:t xml:space="preserve"> Detailed Data Flow</w:t>
      </w:r>
      <w:bookmarkEnd w:id="64"/>
    </w:p>
    <w:p w14:paraId="4CAE2118" w14:textId="3F2F745A" w:rsidR="00C92603" w:rsidRDefault="00A0157A" w:rsidP="00C92603">
      <w:r w:rsidRPr="00A0157A">
        <w:rPr>
          <w:noProof/>
        </w:rPr>
        <w:drawing>
          <wp:inline distT="0" distB="0" distL="0" distR="0" wp14:anchorId="1A8F7E82" wp14:editId="47190A26">
            <wp:extent cx="6263640" cy="3636010"/>
            <wp:effectExtent l="0" t="0" r="3810" b="2540"/>
            <wp:docPr id="2567846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784607" name="Picture 1" descr="A screenshot of a computer&#10;&#10;AI-generated content may be incorrect."/>
                    <pic:cNvPicPr/>
                  </pic:nvPicPr>
                  <pic:blipFill>
                    <a:blip r:embed="rId47"/>
                    <a:stretch>
                      <a:fillRect/>
                    </a:stretch>
                  </pic:blipFill>
                  <pic:spPr>
                    <a:xfrm>
                      <a:off x="0" y="0"/>
                      <a:ext cx="6263640" cy="3636010"/>
                    </a:xfrm>
                    <a:prstGeom prst="rect">
                      <a:avLst/>
                    </a:prstGeom>
                  </pic:spPr>
                </pic:pic>
              </a:graphicData>
            </a:graphic>
          </wp:inline>
        </w:drawing>
      </w:r>
    </w:p>
    <w:p w14:paraId="75C26696" w14:textId="1B6A5D73" w:rsidR="00A67599" w:rsidRDefault="00A67599">
      <w:pPr>
        <w:spacing w:after="0"/>
        <w:textboxTightWrap w:val="none"/>
      </w:pPr>
    </w:p>
    <w:p w14:paraId="106DE1BF" w14:textId="77777777" w:rsidR="00922860" w:rsidRDefault="00922860">
      <w:pPr>
        <w:spacing w:after="0"/>
        <w:textboxTightWrap w:val="none"/>
        <w:rPr>
          <w:rFonts w:eastAsia="MS Mincho"/>
          <w:b/>
          <w:color w:val="005EB8"/>
          <w:spacing w:val="-6"/>
          <w:kern w:val="28"/>
          <w:sz w:val="28"/>
          <w:szCs w:val="28"/>
          <w14:ligatures w14:val="standardContextual"/>
        </w:rPr>
      </w:pPr>
      <w:r>
        <w:br w:type="page"/>
      </w:r>
    </w:p>
    <w:p w14:paraId="60EECCA3" w14:textId="50596469" w:rsidR="00922860" w:rsidRDefault="00922860" w:rsidP="00105D26">
      <w:pPr>
        <w:pStyle w:val="Heading2"/>
      </w:pPr>
      <w:bookmarkStart w:id="65" w:name="_Toc214870547"/>
      <w:bookmarkStart w:id="66" w:name="_Hlk215845371"/>
      <w:r w:rsidRPr="00BD7FB4">
        <w:lastRenderedPageBreak/>
        <w:t xml:space="preserve">Appendix </w:t>
      </w:r>
      <w:r>
        <w:t>D</w:t>
      </w:r>
      <w:r w:rsidRPr="00BD7FB4">
        <w:t xml:space="preserve"> –</w:t>
      </w:r>
      <w:r>
        <w:t xml:space="preserve"> Standards Compliance</w:t>
      </w:r>
      <w:bookmarkEnd w:id="65"/>
    </w:p>
    <w:bookmarkEnd w:id="66"/>
    <w:p w14:paraId="24392449" w14:textId="77777777" w:rsidR="00922860" w:rsidRDefault="00922860" w:rsidP="00922860"/>
    <w:p w14:paraId="1F9C10FC" w14:textId="77777777" w:rsidR="00922860" w:rsidRPr="00922860" w:rsidRDefault="00922860" w:rsidP="00922860">
      <w:pPr>
        <w:rPr>
          <w:b/>
          <w:bCs/>
        </w:rPr>
      </w:pPr>
      <w:r w:rsidRPr="00922860">
        <w:rPr>
          <w:b/>
          <w:bCs/>
        </w:rPr>
        <w:t>Referenced Standards and Frameworks within NIR Documentation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94"/>
        <w:gridCol w:w="2924"/>
        <w:gridCol w:w="4746"/>
      </w:tblGrid>
      <w:tr w:rsidR="00922860" w:rsidRPr="00922860" w14:paraId="4CFEEE5E" w14:textId="77777777">
        <w:trPr>
          <w:tblHeader/>
          <w:tblCellSpacing w:w="15" w:type="dxa"/>
        </w:trPr>
        <w:tc>
          <w:tcPr>
            <w:tcW w:w="0" w:type="auto"/>
            <w:vAlign w:val="center"/>
            <w:hideMark/>
          </w:tcPr>
          <w:p w14:paraId="414458A2" w14:textId="77777777" w:rsidR="00922860" w:rsidRPr="00922860" w:rsidRDefault="00922860" w:rsidP="00922860">
            <w:pPr>
              <w:rPr>
                <w:b/>
                <w:bCs/>
              </w:rPr>
            </w:pPr>
            <w:r w:rsidRPr="00922860">
              <w:rPr>
                <w:b/>
                <w:bCs/>
              </w:rPr>
              <w:t>Category</w:t>
            </w:r>
          </w:p>
        </w:tc>
        <w:tc>
          <w:tcPr>
            <w:tcW w:w="0" w:type="auto"/>
            <w:vAlign w:val="center"/>
            <w:hideMark/>
          </w:tcPr>
          <w:p w14:paraId="76090475" w14:textId="77777777" w:rsidR="00922860" w:rsidRPr="00922860" w:rsidRDefault="00922860" w:rsidP="00922860">
            <w:pPr>
              <w:rPr>
                <w:b/>
                <w:bCs/>
              </w:rPr>
            </w:pPr>
            <w:r w:rsidRPr="00922860">
              <w:rPr>
                <w:b/>
                <w:bCs/>
              </w:rPr>
              <w:t>Standard / Framework</w:t>
            </w:r>
          </w:p>
        </w:tc>
        <w:tc>
          <w:tcPr>
            <w:tcW w:w="0" w:type="auto"/>
            <w:vAlign w:val="center"/>
            <w:hideMark/>
          </w:tcPr>
          <w:p w14:paraId="52FCF2E4" w14:textId="77777777" w:rsidR="00922860" w:rsidRPr="00922860" w:rsidRDefault="00922860" w:rsidP="00922860">
            <w:pPr>
              <w:rPr>
                <w:b/>
                <w:bCs/>
              </w:rPr>
            </w:pPr>
            <w:r w:rsidRPr="00922860">
              <w:rPr>
                <w:b/>
                <w:bCs/>
              </w:rPr>
              <w:t>Description / Use within NIR</w:t>
            </w:r>
          </w:p>
        </w:tc>
      </w:tr>
      <w:tr w:rsidR="00922860" w:rsidRPr="00922860" w14:paraId="26DB77B3" w14:textId="77777777">
        <w:trPr>
          <w:tblCellSpacing w:w="15" w:type="dxa"/>
        </w:trPr>
        <w:tc>
          <w:tcPr>
            <w:tcW w:w="0" w:type="auto"/>
            <w:vAlign w:val="center"/>
            <w:hideMark/>
          </w:tcPr>
          <w:p w14:paraId="6B0B684F" w14:textId="77777777" w:rsidR="00922860" w:rsidRPr="00922860" w:rsidRDefault="00922860" w:rsidP="00922860">
            <w:r w:rsidRPr="00922860">
              <w:rPr>
                <w:b/>
                <w:bCs/>
              </w:rPr>
              <w:t>Document Exchange</w:t>
            </w:r>
          </w:p>
        </w:tc>
        <w:tc>
          <w:tcPr>
            <w:tcW w:w="0" w:type="auto"/>
            <w:vAlign w:val="center"/>
            <w:hideMark/>
          </w:tcPr>
          <w:p w14:paraId="2FAD8893" w14:textId="77777777" w:rsidR="00922860" w:rsidRPr="00922860" w:rsidRDefault="00922860" w:rsidP="00922860">
            <w:r w:rsidRPr="00922860">
              <w:rPr>
                <w:b/>
                <w:bCs/>
              </w:rPr>
              <w:t>IHE XDS.b (Cross-Enterprise Document Sharing)</w:t>
            </w:r>
          </w:p>
        </w:tc>
        <w:tc>
          <w:tcPr>
            <w:tcW w:w="0" w:type="auto"/>
            <w:vAlign w:val="center"/>
            <w:hideMark/>
          </w:tcPr>
          <w:p w14:paraId="2F5D3C35" w14:textId="77777777" w:rsidR="00922860" w:rsidRPr="00922860" w:rsidRDefault="00922860" w:rsidP="00922860">
            <w:r w:rsidRPr="00922860">
              <w:t>Core profile for registering and discovering clinical documents.</w:t>
            </w:r>
          </w:p>
        </w:tc>
      </w:tr>
      <w:tr w:rsidR="00922860" w:rsidRPr="00922860" w14:paraId="0924D1B0" w14:textId="77777777">
        <w:trPr>
          <w:tblCellSpacing w:w="15" w:type="dxa"/>
        </w:trPr>
        <w:tc>
          <w:tcPr>
            <w:tcW w:w="0" w:type="auto"/>
            <w:vAlign w:val="center"/>
            <w:hideMark/>
          </w:tcPr>
          <w:p w14:paraId="4C8BDB94" w14:textId="77777777" w:rsidR="00922860" w:rsidRPr="00922860" w:rsidRDefault="00922860" w:rsidP="00922860">
            <w:r w:rsidRPr="00922860">
              <w:rPr>
                <w:b/>
                <w:bCs/>
              </w:rPr>
              <w:t>Cross-Community Access</w:t>
            </w:r>
          </w:p>
        </w:tc>
        <w:tc>
          <w:tcPr>
            <w:tcW w:w="0" w:type="auto"/>
            <w:vAlign w:val="center"/>
            <w:hideMark/>
          </w:tcPr>
          <w:p w14:paraId="2C739688" w14:textId="77777777" w:rsidR="00922860" w:rsidRPr="00922860" w:rsidRDefault="00922860" w:rsidP="00922860">
            <w:r w:rsidRPr="00922860">
              <w:rPr>
                <w:b/>
                <w:bCs/>
              </w:rPr>
              <w:t>IHE XCA (ITI-38 / ITI-39)</w:t>
            </w:r>
          </w:p>
        </w:tc>
        <w:tc>
          <w:tcPr>
            <w:tcW w:w="0" w:type="auto"/>
            <w:vAlign w:val="center"/>
            <w:hideMark/>
          </w:tcPr>
          <w:p w14:paraId="6962AA1C" w14:textId="77777777" w:rsidR="00922860" w:rsidRPr="00922860" w:rsidRDefault="00922860" w:rsidP="00922860">
            <w:r w:rsidRPr="00922860">
              <w:t xml:space="preserve">Enables discovery and retrieval of imaging and report data across organisations. Referenced in </w:t>
            </w:r>
            <w:r w:rsidRPr="00922860">
              <w:rPr>
                <w:i/>
                <w:iCs/>
              </w:rPr>
              <w:t>NIR Error Handling-v33</w:t>
            </w:r>
            <w:r w:rsidRPr="00922860">
              <w:t xml:space="preserve"> and </w:t>
            </w:r>
            <w:r w:rsidRPr="00922860">
              <w:rPr>
                <w:i/>
                <w:iCs/>
              </w:rPr>
              <w:t>Trust Model-v24</w:t>
            </w:r>
            <w:r w:rsidRPr="00922860">
              <w:t>.</w:t>
            </w:r>
          </w:p>
        </w:tc>
      </w:tr>
      <w:tr w:rsidR="00922860" w:rsidRPr="00922860" w14:paraId="34ECED3B" w14:textId="77777777">
        <w:trPr>
          <w:tblCellSpacing w:w="15" w:type="dxa"/>
        </w:trPr>
        <w:tc>
          <w:tcPr>
            <w:tcW w:w="0" w:type="auto"/>
            <w:vAlign w:val="center"/>
            <w:hideMark/>
          </w:tcPr>
          <w:p w14:paraId="648CF46C" w14:textId="77777777" w:rsidR="00922860" w:rsidRPr="00922860" w:rsidRDefault="00922860" w:rsidP="00922860">
            <w:r w:rsidRPr="00922860">
              <w:rPr>
                <w:b/>
                <w:bCs/>
              </w:rPr>
              <w:t>FHIR Document Sharing</w:t>
            </w:r>
          </w:p>
        </w:tc>
        <w:tc>
          <w:tcPr>
            <w:tcW w:w="0" w:type="auto"/>
            <w:vAlign w:val="center"/>
            <w:hideMark/>
          </w:tcPr>
          <w:p w14:paraId="0E89C8E0" w14:textId="77777777" w:rsidR="00922860" w:rsidRPr="00922860" w:rsidRDefault="00922860" w:rsidP="00922860">
            <w:r w:rsidRPr="00922860">
              <w:rPr>
                <w:b/>
                <w:bCs/>
              </w:rPr>
              <w:t>IHE MHDS (Mobile Health Document Sharing)</w:t>
            </w:r>
          </w:p>
        </w:tc>
        <w:tc>
          <w:tcPr>
            <w:tcW w:w="0" w:type="auto"/>
            <w:vAlign w:val="center"/>
            <w:hideMark/>
          </w:tcPr>
          <w:p w14:paraId="56EBF398" w14:textId="77777777" w:rsidR="00922860" w:rsidRPr="00922860" w:rsidRDefault="00922860" w:rsidP="00922860">
            <w:r w:rsidRPr="00922860">
              <w:t>FHIR-based standard for federated document access. Supported in parallel with XCA (</w:t>
            </w:r>
            <w:r w:rsidRPr="00922860">
              <w:rPr>
                <w:i/>
                <w:iCs/>
              </w:rPr>
              <w:t>NIR Product Brief</w:t>
            </w:r>
            <w:r w:rsidRPr="00922860">
              <w:t>).</w:t>
            </w:r>
          </w:p>
        </w:tc>
      </w:tr>
      <w:tr w:rsidR="00922860" w:rsidRPr="00922860" w14:paraId="61D5E6DD" w14:textId="77777777">
        <w:trPr>
          <w:tblCellSpacing w:w="15" w:type="dxa"/>
        </w:trPr>
        <w:tc>
          <w:tcPr>
            <w:tcW w:w="0" w:type="auto"/>
            <w:vAlign w:val="center"/>
            <w:hideMark/>
          </w:tcPr>
          <w:p w14:paraId="0055B034" w14:textId="77777777" w:rsidR="00922860" w:rsidRPr="00922860" w:rsidRDefault="00922860" w:rsidP="00922860">
            <w:r w:rsidRPr="00922860">
              <w:rPr>
                <w:b/>
                <w:bCs/>
              </w:rPr>
              <w:t>Imaging Retrieval</w:t>
            </w:r>
          </w:p>
        </w:tc>
        <w:tc>
          <w:tcPr>
            <w:tcW w:w="0" w:type="auto"/>
            <w:vAlign w:val="center"/>
            <w:hideMark/>
          </w:tcPr>
          <w:p w14:paraId="72555E1B" w14:textId="77777777" w:rsidR="00922860" w:rsidRPr="00922860" w:rsidRDefault="00922860" w:rsidP="00922860">
            <w:r w:rsidRPr="00922860">
              <w:rPr>
                <w:b/>
                <w:bCs/>
              </w:rPr>
              <w:t>DICOM WADO-RS / WADO-WS</w:t>
            </w:r>
          </w:p>
        </w:tc>
        <w:tc>
          <w:tcPr>
            <w:tcW w:w="0" w:type="auto"/>
            <w:vAlign w:val="center"/>
            <w:hideMark/>
          </w:tcPr>
          <w:p w14:paraId="500819E3" w14:textId="77777777" w:rsidR="00922860" w:rsidRPr="00922860" w:rsidRDefault="00922860" w:rsidP="00922860">
            <w:r w:rsidRPr="00922860">
              <w:t xml:space="preserve">Imaging retrieval protocols for RESTful and SOAP-based access to diagnostic images. Mentioned in </w:t>
            </w:r>
            <w:r w:rsidRPr="00922860">
              <w:rPr>
                <w:i/>
                <w:iCs/>
              </w:rPr>
              <w:t>Trust Model-v24</w:t>
            </w:r>
            <w:r w:rsidRPr="00922860">
              <w:t>.</w:t>
            </w:r>
          </w:p>
        </w:tc>
      </w:tr>
      <w:tr w:rsidR="00922860" w:rsidRPr="00922860" w14:paraId="2958AC20" w14:textId="77777777">
        <w:trPr>
          <w:tblCellSpacing w:w="15" w:type="dxa"/>
        </w:trPr>
        <w:tc>
          <w:tcPr>
            <w:tcW w:w="0" w:type="auto"/>
            <w:vAlign w:val="center"/>
            <w:hideMark/>
          </w:tcPr>
          <w:p w14:paraId="66069E79" w14:textId="77777777" w:rsidR="00922860" w:rsidRPr="00922860" w:rsidRDefault="00922860" w:rsidP="00922860">
            <w:r w:rsidRPr="00922860">
              <w:rPr>
                <w:b/>
                <w:bCs/>
              </w:rPr>
              <w:t>Security &amp; Identity</w:t>
            </w:r>
          </w:p>
        </w:tc>
        <w:tc>
          <w:tcPr>
            <w:tcW w:w="0" w:type="auto"/>
            <w:vAlign w:val="center"/>
            <w:hideMark/>
          </w:tcPr>
          <w:p w14:paraId="26FA8145" w14:textId="77777777" w:rsidR="00922860" w:rsidRPr="00922860" w:rsidRDefault="00922860" w:rsidP="00922860">
            <w:r w:rsidRPr="00922860">
              <w:rPr>
                <w:b/>
                <w:bCs/>
              </w:rPr>
              <w:t>WS-Security (OASIS Standard)</w:t>
            </w:r>
          </w:p>
        </w:tc>
        <w:tc>
          <w:tcPr>
            <w:tcW w:w="0" w:type="auto"/>
            <w:vAlign w:val="center"/>
            <w:hideMark/>
          </w:tcPr>
          <w:p w14:paraId="733DEA76" w14:textId="77777777" w:rsidR="00922860" w:rsidRPr="00922860" w:rsidRDefault="00922860" w:rsidP="00922860">
            <w:r w:rsidRPr="00922860">
              <w:t>SOAP message signing and encryption (for XCA / XDS exchanges).</w:t>
            </w:r>
          </w:p>
        </w:tc>
      </w:tr>
      <w:tr w:rsidR="00922860" w:rsidRPr="00922860" w14:paraId="3A0FE63E" w14:textId="77777777">
        <w:trPr>
          <w:tblCellSpacing w:w="15" w:type="dxa"/>
        </w:trPr>
        <w:tc>
          <w:tcPr>
            <w:tcW w:w="0" w:type="auto"/>
            <w:vAlign w:val="center"/>
            <w:hideMark/>
          </w:tcPr>
          <w:p w14:paraId="49D019D2" w14:textId="77777777" w:rsidR="00922860" w:rsidRPr="00922860" w:rsidRDefault="00922860" w:rsidP="00922860"/>
        </w:tc>
        <w:tc>
          <w:tcPr>
            <w:tcW w:w="0" w:type="auto"/>
            <w:vAlign w:val="center"/>
            <w:hideMark/>
          </w:tcPr>
          <w:p w14:paraId="4F7B7118" w14:textId="77777777" w:rsidR="00922860" w:rsidRPr="00922860" w:rsidRDefault="00922860" w:rsidP="00922860">
            <w:r w:rsidRPr="00922860">
              <w:rPr>
                <w:b/>
                <w:bCs/>
              </w:rPr>
              <w:t>SAML 2.0 / XUA (Cross-Enterprise User Assertion)</w:t>
            </w:r>
          </w:p>
        </w:tc>
        <w:tc>
          <w:tcPr>
            <w:tcW w:w="0" w:type="auto"/>
            <w:vAlign w:val="center"/>
            <w:hideMark/>
          </w:tcPr>
          <w:p w14:paraId="4DAE7D76" w14:textId="77777777" w:rsidR="00922860" w:rsidRPr="00922860" w:rsidRDefault="00922860" w:rsidP="00922860">
            <w:r w:rsidRPr="00922860">
              <w:t>Provides user identity and authorisation in SOAP exchanges.</w:t>
            </w:r>
          </w:p>
        </w:tc>
      </w:tr>
      <w:tr w:rsidR="00922860" w:rsidRPr="00922860" w14:paraId="0497BF04" w14:textId="77777777">
        <w:trPr>
          <w:tblCellSpacing w:w="15" w:type="dxa"/>
        </w:trPr>
        <w:tc>
          <w:tcPr>
            <w:tcW w:w="0" w:type="auto"/>
            <w:vAlign w:val="center"/>
            <w:hideMark/>
          </w:tcPr>
          <w:p w14:paraId="0F00B237" w14:textId="77777777" w:rsidR="00922860" w:rsidRPr="00922860" w:rsidRDefault="00922860" w:rsidP="00922860"/>
        </w:tc>
        <w:tc>
          <w:tcPr>
            <w:tcW w:w="0" w:type="auto"/>
            <w:vAlign w:val="center"/>
            <w:hideMark/>
          </w:tcPr>
          <w:p w14:paraId="28C1ABB8" w14:textId="77777777" w:rsidR="00922860" w:rsidRPr="00922860" w:rsidRDefault="00922860" w:rsidP="00922860">
            <w:r w:rsidRPr="00922860">
              <w:rPr>
                <w:b/>
                <w:bCs/>
              </w:rPr>
              <w:t>OAuth 2.0 / IUA (Internet User Assertion)</w:t>
            </w:r>
          </w:p>
        </w:tc>
        <w:tc>
          <w:tcPr>
            <w:tcW w:w="0" w:type="auto"/>
            <w:vAlign w:val="center"/>
            <w:hideMark/>
          </w:tcPr>
          <w:p w14:paraId="28E56D1D" w14:textId="77777777" w:rsidR="00922860" w:rsidRPr="00922860" w:rsidRDefault="00922860" w:rsidP="00922860">
            <w:r w:rsidRPr="00922860">
              <w:t>RESTful (FHIR/MHDS) authentication and authorisation mechanism.</w:t>
            </w:r>
          </w:p>
        </w:tc>
      </w:tr>
      <w:tr w:rsidR="00922860" w:rsidRPr="00922860" w14:paraId="496A2830" w14:textId="77777777">
        <w:trPr>
          <w:tblCellSpacing w:w="15" w:type="dxa"/>
        </w:trPr>
        <w:tc>
          <w:tcPr>
            <w:tcW w:w="0" w:type="auto"/>
            <w:vAlign w:val="center"/>
            <w:hideMark/>
          </w:tcPr>
          <w:p w14:paraId="4C87A8E3" w14:textId="77777777" w:rsidR="00922860" w:rsidRPr="00922860" w:rsidRDefault="00922860" w:rsidP="00922860"/>
        </w:tc>
        <w:tc>
          <w:tcPr>
            <w:tcW w:w="0" w:type="auto"/>
            <w:vAlign w:val="center"/>
            <w:hideMark/>
          </w:tcPr>
          <w:p w14:paraId="0B66DB4B" w14:textId="77777777" w:rsidR="00922860" w:rsidRPr="00922860" w:rsidRDefault="00922860" w:rsidP="00922860">
            <w:r w:rsidRPr="00922860">
              <w:rPr>
                <w:b/>
                <w:bCs/>
              </w:rPr>
              <w:t>Mutual TLS (mTLS) via NHS Private CA</w:t>
            </w:r>
          </w:p>
        </w:tc>
        <w:tc>
          <w:tcPr>
            <w:tcW w:w="0" w:type="auto"/>
            <w:vAlign w:val="center"/>
            <w:hideMark/>
          </w:tcPr>
          <w:p w14:paraId="03F78306" w14:textId="77777777" w:rsidR="00922860" w:rsidRPr="00922860" w:rsidRDefault="00922860" w:rsidP="00922860">
            <w:r w:rsidRPr="00922860">
              <w:t>Enforced at transport layer for system authentication (</w:t>
            </w:r>
            <w:r w:rsidRPr="00922860">
              <w:rPr>
                <w:i/>
                <w:iCs/>
              </w:rPr>
              <w:t>Trust Model-v24</w:t>
            </w:r>
            <w:r w:rsidRPr="00922860">
              <w:t xml:space="preserve">, </w:t>
            </w:r>
            <w:r w:rsidRPr="00922860">
              <w:rPr>
                <w:i/>
                <w:iCs/>
              </w:rPr>
              <w:t>Security and Compliance Strategy-v5</w:t>
            </w:r>
            <w:r w:rsidRPr="00922860">
              <w:t>).</w:t>
            </w:r>
          </w:p>
        </w:tc>
      </w:tr>
      <w:tr w:rsidR="00922860" w:rsidRPr="00922860" w14:paraId="059A8F29" w14:textId="77777777">
        <w:trPr>
          <w:tblCellSpacing w:w="15" w:type="dxa"/>
        </w:trPr>
        <w:tc>
          <w:tcPr>
            <w:tcW w:w="0" w:type="auto"/>
            <w:vAlign w:val="center"/>
            <w:hideMark/>
          </w:tcPr>
          <w:p w14:paraId="08949D52" w14:textId="77777777" w:rsidR="00922860" w:rsidRPr="00922860" w:rsidRDefault="00922860" w:rsidP="00922860">
            <w:r w:rsidRPr="00922860">
              <w:rPr>
                <w:b/>
                <w:bCs/>
              </w:rPr>
              <w:t>Data Representation</w:t>
            </w:r>
          </w:p>
        </w:tc>
        <w:tc>
          <w:tcPr>
            <w:tcW w:w="0" w:type="auto"/>
            <w:vAlign w:val="center"/>
            <w:hideMark/>
          </w:tcPr>
          <w:p w14:paraId="48640B23" w14:textId="77777777" w:rsidR="00922860" w:rsidRPr="00922860" w:rsidRDefault="00922860" w:rsidP="00922860">
            <w:r w:rsidRPr="00922860">
              <w:rPr>
                <w:b/>
                <w:bCs/>
              </w:rPr>
              <w:t>HL7® FHIR® R4</w:t>
            </w:r>
          </w:p>
        </w:tc>
        <w:tc>
          <w:tcPr>
            <w:tcW w:w="0" w:type="auto"/>
            <w:vAlign w:val="center"/>
            <w:hideMark/>
          </w:tcPr>
          <w:p w14:paraId="410C07F8" w14:textId="77777777" w:rsidR="00922860" w:rsidRPr="00922860" w:rsidRDefault="00922860" w:rsidP="00922860">
            <w:r w:rsidRPr="00922860">
              <w:t>Used for MHDS document queries and retrievals.</w:t>
            </w:r>
          </w:p>
        </w:tc>
      </w:tr>
      <w:tr w:rsidR="00922860" w:rsidRPr="00922860" w14:paraId="3447AF00" w14:textId="77777777">
        <w:trPr>
          <w:tblCellSpacing w:w="15" w:type="dxa"/>
        </w:trPr>
        <w:tc>
          <w:tcPr>
            <w:tcW w:w="0" w:type="auto"/>
            <w:vAlign w:val="center"/>
            <w:hideMark/>
          </w:tcPr>
          <w:p w14:paraId="1572D81C" w14:textId="77777777" w:rsidR="00922860" w:rsidRPr="00922860" w:rsidRDefault="00922860" w:rsidP="00922860">
            <w:r w:rsidRPr="00922860">
              <w:rPr>
                <w:b/>
                <w:bCs/>
              </w:rPr>
              <w:t>Metadata &amp; Governance</w:t>
            </w:r>
          </w:p>
        </w:tc>
        <w:tc>
          <w:tcPr>
            <w:tcW w:w="0" w:type="auto"/>
            <w:vAlign w:val="center"/>
            <w:hideMark/>
          </w:tcPr>
          <w:p w14:paraId="71D97732" w14:textId="77777777" w:rsidR="00922860" w:rsidRPr="00922860" w:rsidRDefault="00922860" w:rsidP="00922860">
            <w:r w:rsidRPr="00922860">
              <w:rPr>
                <w:b/>
                <w:bCs/>
              </w:rPr>
              <w:t>NHS England DDC Interoperability Standards Catalogue</w:t>
            </w:r>
          </w:p>
        </w:tc>
        <w:tc>
          <w:tcPr>
            <w:tcW w:w="0" w:type="auto"/>
            <w:vAlign w:val="center"/>
            <w:hideMark/>
          </w:tcPr>
          <w:p w14:paraId="3EBEAEE0" w14:textId="77777777" w:rsidR="00922860" w:rsidRPr="00922860" w:rsidRDefault="00922860" w:rsidP="00922860">
            <w:r w:rsidRPr="00922860">
              <w:t>NHS reference for national-level interoperability alignment.</w:t>
            </w:r>
          </w:p>
        </w:tc>
      </w:tr>
      <w:tr w:rsidR="00922860" w:rsidRPr="00922860" w14:paraId="4EA6D97F" w14:textId="77777777">
        <w:trPr>
          <w:tblCellSpacing w:w="15" w:type="dxa"/>
        </w:trPr>
        <w:tc>
          <w:tcPr>
            <w:tcW w:w="0" w:type="auto"/>
            <w:vAlign w:val="center"/>
            <w:hideMark/>
          </w:tcPr>
          <w:p w14:paraId="3D1174DB" w14:textId="77777777" w:rsidR="00922860" w:rsidRPr="00922860" w:rsidRDefault="00922860" w:rsidP="00922860">
            <w:r w:rsidRPr="00922860">
              <w:rPr>
                <w:b/>
                <w:bCs/>
              </w:rPr>
              <w:t>Error Handling &amp; Compliance</w:t>
            </w:r>
          </w:p>
        </w:tc>
        <w:tc>
          <w:tcPr>
            <w:tcW w:w="0" w:type="auto"/>
            <w:vAlign w:val="center"/>
            <w:hideMark/>
          </w:tcPr>
          <w:p w14:paraId="61BCD7F0" w14:textId="77777777" w:rsidR="00922860" w:rsidRPr="00922860" w:rsidRDefault="00922860" w:rsidP="00922860">
            <w:r w:rsidRPr="00922860">
              <w:rPr>
                <w:b/>
                <w:bCs/>
              </w:rPr>
              <w:t>IHE IT Infrastructure Technical Framework Vol. 3 (ITI TF-3)</w:t>
            </w:r>
          </w:p>
        </w:tc>
        <w:tc>
          <w:tcPr>
            <w:tcW w:w="0" w:type="auto"/>
            <w:vAlign w:val="center"/>
            <w:hideMark/>
          </w:tcPr>
          <w:p w14:paraId="24B4FEFC" w14:textId="77777777" w:rsidR="00922860" w:rsidRPr="00922860" w:rsidRDefault="00922860" w:rsidP="00922860">
            <w:r w:rsidRPr="00922860">
              <w:t xml:space="preserve">Referenced for error response patterns in </w:t>
            </w:r>
            <w:r w:rsidRPr="00922860">
              <w:rPr>
                <w:i/>
                <w:iCs/>
              </w:rPr>
              <w:t>NIR Error Handling Framework-v33</w:t>
            </w:r>
            <w:r w:rsidRPr="00922860">
              <w:t>.</w:t>
            </w:r>
          </w:p>
        </w:tc>
      </w:tr>
    </w:tbl>
    <w:p w14:paraId="76B38686" w14:textId="77777777" w:rsidR="00922860" w:rsidRPr="00922860" w:rsidRDefault="00922860" w:rsidP="00922860"/>
    <w:p w14:paraId="74CA0B00" w14:textId="77777777" w:rsidR="00CB7DB1" w:rsidRDefault="00CB7DB1" w:rsidP="00A51112">
      <w:pPr>
        <w:jc w:val="center"/>
      </w:pPr>
    </w:p>
    <w:p w14:paraId="1976B7BD" w14:textId="77777777" w:rsidR="00C464BA" w:rsidRDefault="00C464BA" w:rsidP="00105D26">
      <w:pPr>
        <w:pStyle w:val="Heading2"/>
      </w:pPr>
    </w:p>
    <w:p w14:paraId="1EB94D6D" w14:textId="2D8D1BF8" w:rsidR="00CB7DB1" w:rsidRDefault="00CB7DB1" w:rsidP="00105D26">
      <w:pPr>
        <w:pStyle w:val="Heading2"/>
      </w:pPr>
      <w:r w:rsidRPr="00BD7FB4">
        <w:t xml:space="preserve">Appendix </w:t>
      </w:r>
      <w:r>
        <w:t>E</w:t>
      </w:r>
      <w:r w:rsidRPr="00BD7FB4">
        <w:t xml:space="preserve"> –</w:t>
      </w:r>
      <w:r>
        <w:t xml:space="preserve"> Medical Devices Assessment</w:t>
      </w:r>
    </w:p>
    <w:p w14:paraId="3C57255F" w14:textId="77777777" w:rsidR="00CB7DB1" w:rsidRPr="00BD7FB4" w:rsidRDefault="00CB7DB1" w:rsidP="00CB7DB1"/>
    <w:p w14:paraId="764192A9" w14:textId="77777777" w:rsidR="00CB7DB1" w:rsidRPr="00BD7FB4" w:rsidRDefault="00CB7DB1" w:rsidP="00CB7DB1"/>
    <w:p w14:paraId="4CA465D7" w14:textId="77777777" w:rsidR="00CB7DB1" w:rsidRPr="00BD7FB4" w:rsidRDefault="00CB7DB1" w:rsidP="00CB7DB1"/>
    <w:p w14:paraId="59E3BA1A" w14:textId="77777777" w:rsidR="00CB7DB1" w:rsidRPr="00BD7FB4" w:rsidRDefault="00CB7DB1" w:rsidP="00CB7DB1"/>
    <w:p w14:paraId="10675ED9" w14:textId="77777777" w:rsidR="00CB7DB1" w:rsidRPr="00BD7FB4" w:rsidRDefault="00CB7DB1" w:rsidP="00CB7DB1"/>
    <w:p w14:paraId="68AE77C8" w14:textId="77777777" w:rsidR="00CB7DB1" w:rsidRPr="00BD7FB4" w:rsidRDefault="00CB7DB1" w:rsidP="00CB7DB1"/>
    <w:p w14:paraId="08362267" w14:textId="77777777" w:rsidR="00CB7DB1" w:rsidRPr="00BD7FB4" w:rsidRDefault="00CB7DB1" w:rsidP="00CB7DB1"/>
    <w:p w14:paraId="1FD28EBB" w14:textId="7CD9BCD2" w:rsidR="00CB7DB1" w:rsidRPr="00BD7FB4" w:rsidRDefault="00CB7DB1" w:rsidP="00CB7DB1">
      <w:r>
        <w:t>v</w:t>
      </w:r>
    </w:p>
    <w:p w14:paraId="6BBA5015" w14:textId="55B39C64" w:rsidR="00CB7DB1" w:rsidRPr="00BD7FB4" w:rsidRDefault="00CB7DB1" w:rsidP="00CB7DB1">
      <w:r>
        <w:rPr>
          <w:noProof/>
        </w:rPr>
        <mc:AlternateContent>
          <mc:Choice Requires="wps">
            <w:drawing>
              <wp:anchor distT="0" distB="0" distL="114300" distR="114300" simplePos="0" relativeHeight="251659264" behindDoc="0" locked="0" layoutInCell="1" allowOverlap="1" wp14:anchorId="66837BDF" wp14:editId="45FCE6B0">
                <wp:simplePos x="0" y="0"/>
                <wp:positionH relativeFrom="column">
                  <wp:posOffset>521246</wp:posOffset>
                </wp:positionH>
                <wp:positionV relativeFrom="paragraph">
                  <wp:posOffset>180488</wp:posOffset>
                </wp:positionV>
                <wp:extent cx="914400" cy="914400"/>
                <wp:effectExtent l="0" t="0" r="7620" b="0"/>
                <wp:wrapNone/>
                <wp:docPr id="2084964399" name="Text Box 4"/>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chemeClr val="lt1"/>
                        </a:solidFill>
                        <a:ln w="6350">
                          <a:noFill/>
                        </a:ln>
                      </wps:spPr>
                      <wps:txbx>
                        <w:txbxContent>
                          <w:p w14:paraId="3029C0D2" w14:textId="51B26CB6" w:rsidR="00CB7DB1" w:rsidRDefault="00CB7DB1">
                            <w:pPr>
                              <w:rPr>
                                <w:b/>
                                <w:bCs/>
                                <w:color w:val="004E9A"/>
                                <w:sz w:val="48"/>
                                <w:szCs w:val="48"/>
                              </w:rPr>
                            </w:pPr>
                            <w:r w:rsidRPr="00CB7DB1">
                              <w:rPr>
                                <w:b/>
                                <w:bCs/>
                                <w:color w:val="004E9A"/>
                                <w:sz w:val="48"/>
                                <w:szCs w:val="48"/>
                              </w:rPr>
                              <w:t>NIR Medical Devices Determination</w:t>
                            </w:r>
                          </w:p>
                          <w:p w14:paraId="75999382" w14:textId="77777777" w:rsidR="00CB7DB1" w:rsidRDefault="00CB7DB1">
                            <w:pPr>
                              <w:rPr>
                                <w:b/>
                                <w:bCs/>
                                <w:color w:val="004E9A"/>
                                <w:sz w:val="48"/>
                                <w:szCs w:val="48"/>
                              </w:rPr>
                            </w:pPr>
                          </w:p>
                          <w:p w14:paraId="28B830C8" w14:textId="77777777" w:rsidR="00CB7DB1" w:rsidRPr="00CB7DB1" w:rsidRDefault="00CB7DB1">
                            <w:pPr>
                              <w:rPr>
                                <w:b/>
                                <w:bCs/>
                                <w:color w:val="004E9A"/>
                                <w:sz w:val="48"/>
                                <w:szCs w:val="48"/>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837BDF" id="Text Box 4" o:spid="_x0000_s1027" type="#_x0000_t202" style="position:absolute;margin-left:41.05pt;margin-top:14.2pt;width:1in;height:1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" fillcolor="white [3201]" stroked="f" strokeweight=".5pt">
                <v:textbox>
                  <w:txbxContent>
                    <w:p w14:paraId="3029C0D2" w14:textId="51B26CB6" w:rsidR="00CB7DB1" w:rsidRDefault="00CB7DB1">
                      <w:pPr>
                        <w:rPr>
                          <w:b/>
                          <w:bCs/>
                          <w:color w:val="004E9A"/>
                          <w:sz w:val="48"/>
                          <w:szCs w:val="48"/>
                        </w:rPr>
                      </w:pPr>
                      <w:r w:rsidRPr="00CB7DB1">
                        <w:rPr>
                          <w:b/>
                          <w:bCs/>
                          <w:color w:val="004E9A"/>
                          <w:sz w:val="48"/>
                          <w:szCs w:val="48"/>
                        </w:rPr>
                        <w:t>NIR Medical Devices Determination</w:t>
                      </w:r>
                    </w:p>
                    <w:p w14:paraId="75999382" w14:textId="77777777" w:rsidR="00CB7DB1" w:rsidRDefault="00CB7DB1">
                      <w:pPr>
                        <w:rPr>
                          <w:b/>
                          <w:bCs/>
                          <w:color w:val="004E9A"/>
                          <w:sz w:val="48"/>
                          <w:szCs w:val="48"/>
                        </w:rPr>
                      </w:pPr>
                    </w:p>
                    <w:p w14:paraId="28B830C8" w14:textId="77777777" w:rsidR="00CB7DB1" w:rsidRPr="00CB7DB1" w:rsidRDefault="00CB7DB1">
                      <w:pPr>
                        <w:rPr>
                          <w:b/>
                          <w:bCs/>
                          <w:color w:val="004E9A"/>
                          <w:sz w:val="48"/>
                          <w:szCs w:val="48"/>
                        </w:rPr>
                      </w:pPr>
                    </w:p>
                  </w:txbxContent>
                </v:textbox>
              </v:shape>
            </w:pict>
          </mc:Fallback>
        </mc:AlternateContent>
      </w:r>
    </w:p>
    <w:p w14:paraId="659F1FA7" w14:textId="77777777" w:rsidR="00CB7DB1" w:rsidRPr="00BD7FB4" w:rsidRDefault="00CB7DB1" w:rsidP="00CB7DB1"/>
    <w:p w14:paraId="248E2468" w14:textId="77777777" w:rsidR="00CB7DB1" w:rsidRDefault="00CB7DB1" w:rsidP="00CB7DB1"/>
    <w:p w14:paraId="48CAE1D4" w14:textId="77777777" w:rsidR="00CB7DB1" w:rsidRDefault="00CB7DB1" w:rsidP="00CB7DB1"/>
    <w:p w14:paraId="6958658E" w14:textId="77777777" w:rsidR="00CB7DB1" w:rsidRDefault="00CB7DB1" w:rsidP="00CB7DB1"/>
    <w:p w14:paraId="5E07D2BF" w14:textId="77777777" w:rsidR="00CB7DB1" w:rsidRDefault="00CB7DB1" w:rsidP="00CB7DB1"/>
    <w:p w14:paraId="157B1B42" w14:textId="77777777" w:rsidR="00CB7DB1" w:rsidRDefault="00CB7DB1" w:rsidP="00CB7DB1"/>
    <w:p w14:paraId="30E7323D" w14:textId="77777777" w:rsidR="00CB7DB1" w:rsidRDefault="00CB7DB1" w:rsidP="00CB7DB1"/>
    <w:p w14:paraId="170F121E" w14:textId="77777777" w:rsidR="00CB7DB1" w:rsidRDefault="00CB7DB1" w:rsidP="00CB7DB1"/>
    <w:p w14:paraId="2891CD47" w14:textId="77777777" w:rsidR="00CB7DB1" w:rsidRDefault="00CB7DB1" w:rsidP="00CB7DB1"/>
    <w:p w14:paraId="775E5B47" w14:textId="77777777" w:rsidR="00CB7DB1" w:rsidRDefault="00CB7DB1" w:rsidP="00CB7DB1"/>
    <w:p w14:paraId="3C680780" w14:textId="77777777" w:rsidR="00CB7DB1" w:rsidRDefault="00CB7DB1" w:rsidP="00CB7DB1"/>
    <w:p w14:paraId="2C3531BA" w14:textId="77777777" w:rsidR="00CB7DB1" w:rsidRPr="00BD7FB4" w:rsidRDefault="00CB7DB1" w:rsidP="00CB7DB1"/>
    <w:p w14:paraId="7C178258" w14:textId="1EADE89C" w:rsidR="00CB7DB1" w:rsidRPr="00BD7FB4" w:rsidRDefault="00CB7DB1" w:rsidP="00CB7DB1"/>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CB7DB1" w:rsidRPr="00894104" w14:paraId="1C6B3FA6" w14:textId="77777777" w:rsidTr="00FB6980">
        <w:trPr>
          <w:trHeight w:val="340"/>
        </w:trPr>
        <w:tc>
          <w:tcPr>
            <w:tcW w:w="5000" w:type="pct"/>
            <w:gridSpan w:val="4"/>
            <w:shd w:val="clear" w:color="auto" w:fill="FFFF00"/>
          </w:tcPr>
          <w:p w14:paraId="2CF05EA2" w14:textId="77777777" w:rsidR="00CB7DB1" w:rsidRPr="00894104" w:rsidRDefault="00CB7DB1" w:rsidP="00FB6980">
            <w:pPr>
              <w:pStyle w:val="TableHeader"/>
            </w:pPr>
            <w:r w:rsidRPr="00894104">
              <w:t>Document filename: Medical Device Determination</w:t>
            </w:r>
          </w:p>
        </w:tc>
      </w:tr>
      <w:tr w:rsidR="00CB7DB1" w:rsidRPr="00894104" w14:paraId="5C57D1A9" w14:textId="77777777" w:rsidTr="00FB6980">
        <w:trPr>
          <w:trHeight w:val="170"/>
        </w:trPr>
        <w:tc>
          <w:tcPr>
            <w:tcW w:w="1319" w:type="pct"/>
          </w:tcPr>
          <w:p w14:paraId="59759221" w14:textId="77777777" w:rsidR="00CB7DB1" w:rsidRPr="00894104" w:rsidRDefault="00CB7DB1" w:rsidP="00FB6980">
            <w:pPr>
              <w:pStyle w:val="TableHeader"/>
            </w:pPr>
            <w:r w:rsidRPr="00894104">
              <w:t>Directorate / Programme</w:t>
            </w:r>
          </w:p>
        </w:tc>
        <w:tc>
          <w:tcPr>
            <w:tcW w:w="1688" w:type="pct"/>
            <w:tcBorders>
              <w:right w:val="single" w:sz="4" w:space="0" w:color="B9B9B9"/>
            </w:tcBorders>
          </w:tcPr>
          <w:p w14:paraId="0E73D921" w14:textId="77777777" w:rsidR="00CB7DB1" w:rsidRPr="00894104" w:rsidRDefault="00CB7DB1" w:rsidP="00FB6980">
            <w:pPr>
              <w:pStyle w:val="TableText"/>
            </w:pPr>
            <w:r w:rsidRPr="00894104">
              <w:t>NIR Programme Team</w:t>
            </w:r>
          </w:p>
        </w:tc>
        <w:tc>
          <w:tcPr>
            <w:tcW w:w="1055" w:type="pct"/>
            <w:tcBorders>
              <w:left w:val="single" w:sz="4" w:space="0" w:color="B9B9B9"/>
            </w:tcBorders>
          </w:tcPr>
          <w:p w14:paraId="0D5D7200" w14:textId="77777777" w:rsidR="00CB7DB1" w:rsidRPr="00894104" w:rsidRDefault="00CB7DB1" w:rsidP="00FB6980">
            <w:pPr>
              <w:pStyle w:val="TableHeader"/>
            </w:pPr>
            <w:r w:rsidRPr="00894104">
              <w:t>Project</w:t>
            </w:r>
          </w:p>
        </w:tc>
        <w:tc>
          <w:tcPr>
            <w:tcW w:w="938" w:type="pct"/>
          </w:tcPr>
          <w:p w14:paraId="54EB2784" w14:textId="77777777" w:rsidR="00CB7DB1" w:rsidRPr="00894104" w:rsidRDefault="00CB7DB1" w:rsidP="00FB6980">
            <w:pPr>
              <w:pStyle w:val="TableText"/>
              <w:ind w:left="-39"/>
            </w:pPr>
            <w:r w:rsidRPr="00894104">
              <w:t>National Image Registry</w:t>
            </w:r>
          </w:p>
        </w:tc>
      </w:tr>
      <w:tr w:rsidR="00CB7DB1" w:rsidRPr="00894104" w14:paraId="619430BE" w14:textId="77777777" w:rsidTr="00FB6980">
        <w:trPr>
          <w:trHeight w:val="170"/>
        </w:trPr>
        <w:tc>
          <w:tcPr>
            <w:tcW w:w="3007" w:type="pct"/>
            <w:gridSpan w:val="2"/>
            <w:tcBorders>
              <w:right w:val="single" w:sz="4" w:space="0" w:color="B9B9B9"/>
            </w:tcBorders>
          </w:tcPr>
          <w:p w14:paraId="30133103" w14:textId="77777777" w:rsidR="00CB7DB1" w:rsidRPr="00894104" w:rsidRDefault="00CB7DB1" w:rsidP="00FB6980">
            <w:pPr>
              <w:pStyle w:val="TableHeader"/>
            </w:pPr>
            <w:r w:rsidRPr="00894104">
              <w:t>Document Reference</w:t>
            </w:r>
          </w:p>
        </w:tc>
        <w:tc>
          <w:tcPr>
            <w:tcW w:w="1993" w:type="pct"/>
            <w:gridSpan w:val="2"/>
            <w:tcBorders>
              <w:left w:val="single" w:sz="4" w:space="0" w:color="B9B9B9"/>
            </w:tcBorders>
          </w:tcPr>
          <w:p w14:paraId="6B4C1A27" w14:textId="77777777" w:rsidR="00CB7DB1" w:rsidRPr="00894104" w:rsidRDefault="00CB7DB1" w:rsidP="00FB6980">
            <w:pPr>
              <w:pStyle w:val="TableHeader"/>
            </w:pPr>
          </w:p>
        </w:tc>
      </w:tr>
      <w:tr w:rsidR="00CB7DB1" w:rsidRPr="00894104" w14:paraId="13DAE832" w14:textId="77777777" w:rsidTr="00FB6980">
        <w:trPr>
          <w:trHeight w:val="145"/>
        </w:trPr>
        <w:tc>
          <w:tcPr>
            <w:tcW w:w="1319" w:type="pct"/>
          </w:tcPr>
          <w:p w14:paraId="0D1EDC7E" w14:textId="77777777" w:rsidR="00CB7DB1" w:rsidRPr="00894104" w:rsidRDefault="00CB7DB1" w:rsidP="00FB6980">
            <w:pPr>
              <w:pStyle w:val="TableHeader"/>
            </w:pPr>
            <w:r w:rsidRPr="00894104">
              <w:t>Director</w:t>
            </w:r>
          </w:p>
        </w:tc>
        <w:tc>
          <w:tcPr>
            <w:tcW w:w="1688" w:type="pct"/>
            <w:tcBorders>
              <w:right w:val="single" w:sz="4" w:space="0" w:color="B9B9B9"/>
            </w:tcBorders>
            <w:shd w:val="clear" w:color="auto" w:fill="FFFF00"/>
          </w:tcPr>
          <w:p w14:paraId="73FD7DBA" w14:textId="77777777" w:rsidR="00CB7DB1" w:rsidRPr="00894104" w:rsidRDefault="00CB7DB1" w:rsidP="00FB6980">
            <w:pPr>
              <w:pStyle w:val="TableText"/>
            </w:pPr>
          </w:p>
        </w:tc>
        <w:tc>
          <w:tcPr>
            <w:tcW w:w="1055" w:type="pct"/>
            <w:tcBorders>
              <w:left w:val="single" w:sz="4" w:space="0" w:color="B9B9B9"/>
            </w:tcBorders>
          </w:tcPr>
          <w:p w14:paraId="5ECD2C00" w14:textId="77777777" w:rsidR="00CB7DB1" w:rsidRPr="00894104" w:rsidRDefault="00CB7DB1" w:rsidP="00FB6980">
            <w:pPr>
              <w:pStyle w:val="TableHeader"/>
            </w:pPr>
            <w:r w:rsidRPr="00894104">
              <w:t>Status</w:t>
            </w:r>
          </w:p>
        </w:tc>
        <w:tc>
          <w:tcPr>
            <w:tcW w:w="938" w:type="pct"/>
          </w:tcPr>
          <w:p w14:paraId="001DD758" w14:textId="77777777" w:rsidR="00CB7DB1" w:rsidRPr="00894104" w:rsidRDefault="00CB7DB1" w:rsidP="00FB6980">
            <w:pPr>
              <w:pStyle w:val="TableText"/>
            </w:pPr>
            <w:r w:rsidRPr="00894104">
              <w:t>Draft</w:t>
            </w:r>
          </w:p>
        </w:tc>
      </w:tr>
      <w:tr w:rsidR="00CB7DB1" w:rsidRPr="00894104" w14:paraId="6AC84AAE" w14:textId="77777777" w:rsidTr="00FB6980">
        <w:trPr>
          <w:trHeight w:val="170"/>
        </w:trPr>
        <w:tc>
          <w:tcPr>
            <w:tcW w:w="1319" w:type="pct"/>
          </w:tcPr>
          <w:p w14:paraId="500A737F" w14:textId="77777777" w:rsidR="00CB7DB1" w:rsidRPr="00894104" w:rsidRDefault="00CB7DB1" w:rsidP="00FB6980">
            <w:pPr>
              <w:pStyle w:val="TableHeader"/>
            </w:pPr>
            <w:r w:rsidRPr="00894104">
              <w:t>Owner</w:t>
            </w:r>
          </w:p>
        </w:tc>
        <w:tc>
          <w:tcPr>
            <w:tcW w:w="1688" w:type="pct"/>
            <w:tcBorders>
              <w:right w:val="single" w:sz="4" w:space="0" w:color="B9B9B9"/>
            </w:tcBorders>
            <w:shd w:val="clear" w:color="auto" w:fill="FFFF00"/>
          </w:tcPr>
          <w:p w14:paraId="3BFDB339" w14:textId="77777777" w:rsidR="00CB7DB1" w:rsidRPr="00894104" w:rsidRDefault="00CB7DB1" w:rsidP="00FB6980">
            <w:pPr>
              <w:pStyle w:val="TableText"/>
            </w:pPr>
            <w:r w:rsidRPr="00894104">
              <w:rPr>
                <w:b/>
                <w:bCs/>
              </w:rPr>
              <w:t>Jonathan Martin</w:t>
            </w:r>
          </w:p>
        </w:tc>
        <w:tc>
          <w:tcPr>
            <w:tcW w:w="1055" w:type="pct"/>
            <w:tcBorders>
              <w:left w:val="single" w:sz="4" w:space="0" w:color="B9B9B9"/>
            </w:tcBorders>
          </w:tcPr>
          <w:p w14:paraId="0ED166D4" w14:textId="77777777" w:rsidR="00CB7DB1" w:rsidRPr="00894104" w:rsidRDefault="00CB7DB1" w:rsidP="00FB6980">
            <w:pPr>
              <w:pStyle w:val="TableHeader"/>
            </w:pPr>
            <w:r w:rsidRPr="00894104">
              <w:t>Version</w:t>
            </w:r>
          </w:p>
        </w:tc>
        <w:tc>
          <w:tcPr>
            <w:tcW w:w="938" w:type="pct"/>
          </w:tcPr>
          <w:p w14:paraId="126293AF" w14:textId="77777777" w:rsidR="00CB7DB1" w:rsidRPr="00894104" w:rsidRDefault="00CB7DB1" w:rsidP="00FB6980">
            <w:pPr>
              <w:pStyle w:val="TableText"/>
            </w:pPr>
            <w:r w:rsidRPr="00894104">
              <w:t>0.1</w:t>
            </w:r>
          </w:p>
        </w:tc>
      </w:tr>
      <w:tr w:rsidR="00CB7DB1" w:rsidRPr="00894104" w14:paraId="2B8DE911" w14:textId="77777777" w:rsidTr="00FB6980">
        <w:trPr>
          <w:trHeight w:val="170"/>
        </w:trPr>
        <w:tc>
          <w:tcPr>
            <w:tcW w:w="1319" w:type="pct"/>
          </w:tcPr>
          <w:p w14:paraId="20E5F890" w14:textId="77777777" w:rsidR="00CB7DB1" w:rsidRPr="00894104" w:rsidRDefault="00CB7DB1" w:rsidP="00FB6980">
            <w:pPr>
              <w:pStyle w:val="TableHeader"/>
            </w:pPr>
            <w:r w:rsidRPr="00894104">
              <w:t>Author</w:t>
            </w:r>
          </w:p>
        </w:tc>
        <w:tc>
          <w:tcPr>
            <w:tcW w:w="1688" w:type="pct"/>
            <w:tcBorders>
              <w:right w:val="single" w:sz="4" w:space="0" w:color="B9B9B9"/>
            </w:tcBorders>
          </w:tcPr>
          <w:p w14:paraId="317D6FD3" w14:textId="77777777" w:rsidR="00CB7DB1" w:rsidRPr="00894104" w:rsidRDefault="00CB7DB1" w:rsidP="00FB6980">
            <w:pPr>
              <w:pStyle w:val="TableText"/>
            </w:pPr>
            <w:r w:rsidRPr="00894104">
              <w:t xml:space="preserve">Andrew Harrison ETHOS Ltd. </w:t>
            </w:r>
          </w:p>
          <w:p w14:paraId="3437BE61" w14:textId="77777777" w:rsidR="00CB7DB1" w:rsidRPr="00894104" w:rsidRDefault="00CB7DB1" w:rsidP="00FB6980">
            <w:pPr>
              <w:pStyle w:val="TableText"/>
            </w:pPr>
            <w:r w:rsidRPr="00894104">
              <w:t>Safety Engineer</w:t>
            </w:r>
          </w:p>
          <w:p w14:paraId="598F6913" w14:textId="77777777" w:rsidR="00CB7DB1" w:rsidRPr="00894104" w:rsidRDefault="00CB7DB1" w:rsidP="00FB6980">
            <w:pPr>
              <w:pStyle w:val="TableText"/>
            </w:pPr>
            <w:r w:rsidRPr="00894104">
              <w:t>Saven Shah, Clinical Safety Officer, ETHOS Ltd.</w:t>
            </w:r>
          </w:p>
        </w:tc>
        <w:tc>
          <w:tcPr>
            <w:tcW w:w="1055" w:type="pct"/>
            <w:tcBorders>
              <w:left w:val="single" w:sz="4" w:space="0" w:color="B9B9B9"/>
            </w:tcBorders>
          </w:tcPr>
          <w:p w14:paraId="6DBEF5EF" w14:textId="77777777" w:rsidR="00CB7DB1" w:rsidRPr="00894104" w:rsidRDefault="00CB7DB1" w:rsidP="00FB6980">
            <w:pPr>
              <w:pStyle w:val="TableHeader"/>
            </w:pPr>
            <w:r w:rsidRPr="00894104">
              <w:t>Version issue date</w:t>
            </w:r>
          </w:p>
        </w:tc>
        <w:tc>
          <w:tcPr>
            <w:tcW w:w="938" w:type="pct"/>
          </w:tcPr>
          <w:p w14:paraId="51EDD194" w14:textId="77777777" w:rsidR="00CB7DB1" w:rsidRPr="00894104" w:rsidRDefault="00CB7DB1" w:rsidP="00FB6980">
            <w:pPr>
              <w:pStyle w:val="TableText"/>
            </w:pPr>
            <w:r w:rsidRPr="00894104">
              <w:t>XX.XX.2025</w:t>
            </w:r>
          </w:p>
        </w:tc>
      </w:tr>
      <w:tr w:rsidR="00CB7DB1" w:rsidRPr="00BD7FB4" w14:paraId="0629566A" w14:textId="77777777" w:rsidTr="00FB6980">
        <w:trPr>
          <w:trHeight w:val="170"/>
        </w:trPr>
        <w:tc>
          <w:tcPr>
            <w:tcW w:w="5000" w:type="pct"/>
            <w:gridSpan w:val="4"/>
          </w:tcPr>
          <w:p w14:paraId="7E3303E5" w14:textId="77777777" w:rsidR="00CB7DB1" w:rsidRPr="00BD7FB4" w:rsidRDefault="00CB7DB1" w:rsidP="00FB6980">
            <w:pPr>
              <w:pStyle w:val="TableHeader"/>
              <w:rPr>
                <w:b w:val="0"/>
                <w:bCs w:val="0"/>
              </w:rPr>
            </w:pPr>
            <w:r w:rsidRPr="00BD7FB4">
              <w:rPr>
                <w:b w:val="0"/>
                <w:bCs w:val="0"/>
              </w:rPr>
              <w:t>This is a controlled document; any printed copies of this document are not controlled.</w:t>
            </w:r>
          </w:p>
        </w:tc>
      </w:tr>
    </w:tbl>
    <w:p w14:paraId="7AE4DB79" w14:textId="77777777" w:rsidR="00CB7DB1" w:rsidRPr="00BD7FB4" w:rsidRDefault="00CB7DB1" w:rsidP="00CB7DB1">
      <w:pPr>
        <w:sectPr w:rsidR="00CB7DB1" w:rsidRPr="00BD7FB4" w:rsidSect="00CB7DB1">
          <w:headerReference w:type="even" r:id="rId48"/>
          <w:headerReference w:type="default" r:id="rId49"/>
          <w:footerReference w:type="even" r:id="rId50"/>
          <w:footerReference w:type="default" r:id="rId51"/>
          <w:headerReference w:type="first" r:id="rId52"/>
          <w:footerReference w:type="first" r:id="rId53"/>
          <w:pgSz w:w="11906" w:h="16838"/>
          <w:pgMar w:top="784" w:right="1021" w:bottom="1021" w:left="1021" w:header="454" w:footer="680" w:gutter="0"/>
          <w:cols w:space="708"/>
          <w:titlePg/>
          <w:docGrid w:linePitch="360"/>
        </w:sectPr>
      </w:pPr>
    </w:p>
    <w:p w14:paraId="38C4AF49" w14:textId="77777777" w:rsidR="00CB7DB1" w:rsidRPr="00BD7FB4" w:rsidRDefault="00CB7DB1" w:rsidP="00CB7DB1">
      <w:pPr>
        <w:pStyle w:val="Docmgmtheading"/>
        <w:rPr>
          <w:color w:val="005EB8" w:themeColor="accent1"/>
        </w:rPr>
      </w:pPr>
      <w:r w:rsidRPr="00BD7FB4">
        <w:rPr>
          <w:color w:val="005EB8" w:themeColor="accent1"/>
        </w:rPr>
        <w:lastRenderedPageBreak/>
        <w:t>Document Management</w:t>
      </w:r>
    </w:p>
    <w:p w14:paraId="6C8566F2" w14:textId="77777777" w:rsidR="00CB7DB1" w:rsidRPr="00BD7FB4" w:rsidRDefault="00CB7DB1" w:rsidP="00CB7DB1">
      <w:pPr>
        <w:pStyle w:val="DocMgmtSubhead"/>
        <w:rPr>
          <w:color w:val="005EB8" w:themeColor="accent1"/>
          <w:sz w:val="22"/>
        </w:rPr>
      </w:pPr>
      <w:r w:rsidRPr="00BD7FB4">
        <w:rPr>
          <w:color w:val="005EB8" w:themeColor="accent1"/>
          <w:sz w:val="22"/>
        </w:rPr>
        <w:t>Revision History</w:t>
      </w:r>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CB7DB1" w:rsidRPr="00BD7FB4" w14:paraId="083E0DD3" w14:textId="77777777" w:rsidTr="00FB6980">
        <w:trPr>
          <w:trHeight w:val="290"/>
        </w:trPr>
        <w:tc>
          <w:tcPr>
            <w:tcW w:w="575" w:type="pct"/>
            <w:tcBorders>
              <w:top w:val="single" w:sz="2" w:space="0" w:color="000000"/>
              <w:bottom w:val="single" w:sz="2" w:space="0" w:color="000000"/>
              <w:right w:val="nil"/>
            </w:tcBorders>
          </w:tcPr>
          <w:p w14:paraId="54CB538A" w14:textId="77777777" w:rsidR="00CB7DB1" w:rsidRPr="00BD7FB4" w:rsidRDefault="00CB7DB1" w:rsidP="00FB6980">
            <w:pPr>
              <w:pStyle w:val="TableHeader"/>
            </w:pPr>
            <w:r w:rsidRPr="00BD7FB4">
              <w:t>Version</w:t>
            </w:r>
          </w:p>
        </w:tc>
        <w:tc>
          <w:tcPr>
            <w:tcW w:w="763" w:type="pct"/>
            <w:tcBorders>
              <w:top w:val="single" w:sz="2" w:space="0" w:color="000000"/>
              <w:left w:val="nil"/>
              <w:bottom w:val="single" w:sz="2" w:space="0" w:color="000000"/>
              <w:right w:val="nil"/>
            </w:tcBorders>
          </w:tcPr>
          <w:p w14:paraId="1750B844" w14:textId="77777777" w:rsidR="00CB7DB1" w:rsidRPr="00BD7FB4" w:rsidRDefault="00CB7DB1" w:rsidP="00FB6980">
            <w:pPr>
              <w:pStyle w:val="TableHeader"/>
            </w:pPr>
            <w:r w:rsidRPr="00BD7FB4">
              <w:t>Date</w:t>
            </w:r>
          </w:p>
        </w:tc>
        <w:tc>
          <w:tcPr>
            <w:tcW w:w="3662" w:type="pct"/>
            <w:tcBorders>
              <w:top w:val="single" w:sz="2" w:space="0" w:color="000000"/>
              <w:left w:val="nil"/>
              <w:bottom w:val="single" w:sz="2" w:space="0" w:color="000000"/>
            </w:tcBorders>
          </w:tcPr>
          <w:p w14:paraId="0EB9C819" w14:textId="77777777" w:rsidR="00CB7DB1" w:rsidRPr="00BD7FB4" w:rsidRDefault="00CB7DB1" w:rsidP="00FB6980">
            <w:pPr>
              <w:pStyle w:val="TableHeader"/>
            </w:pPr>
            <w:r w:rsidRPr="00BD7FB4">
              <w:t>Summary of Changes</w:t>
            </w:r>
          </w:p>
        </w:tc>
      </w:tr>
      <w:tr w:rsidR="00CB7DB1" w:rsidRPr="00BD7FB4" w14:paraId="724881B6" w14:textId="77777777" w:rsidTr="00FB6980">
        <w:trPr>
          <w:trHeight w:val="290"/>
        </w:trPr>
        <w:tc>
          <w:tcPr>
            <w:tcW w:w="575" w:type="pct"/>
            <w:tcBorders>
              <w:right w:val="single" w:sz="2" w:space="0" w:color="B9B9B9"/>
            </w:tcBorders>
          </w:tcPr>
          <w:p w14:paraId="4FA5079B" w14:textId="77777777" w:rsidR="00CB7DB1" w:rsidRPr="00BD7FB4" w:rsidRDefault="00CB7DB1" w:rsidP="00FB6980">
            <w:pPr>
              <w:pStyle w:val="TableText"/>
            </w:pPr>
            <w:r w:rsidRPr="00BD7FB4">
              <w:t>0.1</w:t>
            </w:r>
          </w:p>
        </w:tc>
        <w:tc>
          <w:tcPr>
            <w:tcW w:w="763" w:type="pct"/>
            <w:tcBorders>
              <w:left w:val="single" w:sz="2" w:space="0" w:color="B9B9B9"/>
              <w:right w:val="single" w:sz="2" w:space="0" w:color="B9B9B9"/>
            </w:tcBorders>
          </w:tcPr>
          <w:p w14:paraId="0921A8BE" w14:textId="77777777" w:rsidR="00CB7DB1" w:rsidRPr="00BD7FB4" w:rsidRDefault="00CB7DB1" w:rsidP="00FB6980">
            <w:pPr>
              <w:pStyle w:val="TableText"/>
            </w:pPr>
            <w:r>
              <w:t>11</w:t>
            </w:r>
            <w:r w:rsidRPr="00BD7FB4">
              <w:t>.</w:t>
            </w:r>
            <w:r>
              <w:t>11</w:t>
            </w:r>
            <w:r w:rsidRPr="00BD7FB4">
              <w:t>.2025</w:t>
            </w:r>
          </w:p>
        </w:tc>
        <w:tc>
          <w:tcPr>
            <w:tcW w:w="3662" w:type="pct"/>
            <w:tcBorders>
              <w:left w:val="single" w:sz="2" w:space="0" w:color="B9B9B9"/>
            </w:tcBorders>
          </w:tcPr>
          <w:p w14:paraId="6B5335EC" w14:textId="77777777" w:rsidR="00CB7DB1" w:rsidRPr="00BD7FB4" w:rsidRDefault="00CB7DB1" w:rsidP="00FB6980">
            <w:pPr>
              <w:pStyle w:val="TableText"/>
            </w:pPr>
            <w:r w:rsidRPr="00BD7FB4">
              <w:t>Initial draft document</w:t>
            </w:r>
          </w:p>
        </w:tc>
      </w:tr>
      <w:tr w:rsidR="00CB7DB1" w:rsidRPr="00BD7FB4" w14:paraId="541B40D2" w14:textId="77777777" w:rsidTr="00FB6980">
        <w:trPr>
          <w:trHeight w:val="290"/>
        </w:trPr>
        <w:tc>
          <w:tcPr>
            <w:tcW w:w="575" w:type="pct"/>
            <w:tcBorders>
              <w:right w:val="single" w:sz="2" w:space="0" w:color="B9B9B9"/>
            </w:tcBorders>
          </w:tcPr>
          <w:p w14:paraId="62A5215F" w14:textId="77777777" w:rsidR="00CB7DB1" w:rsidRPr="00BD7FB4" w:rsidRDefault="00CB7DB1" w:rsidP="00FB6980">
            <w:pPr>
              <w:pStyle w:val="TableText"/>
            </w:pPr>
          </w:p>
        </w:tc>
        <w:tc>
          <w:tcPr>
            <w:tcW w:w="763" w:type="pct"/>
            <w:tcBorders>
              <w:left w:val="single" w:sz="2" w:space="0" w:color="B9B9B9"/>
              <w:right w:val="single" w:sz="2" w:space="0" w:color="B9B9B9"/>
            </w:tcBorders>
          </w:tcPr>
          <w:p w14:paraId="73FE15E5" w14:textId="77777777" w:rsidR="00CB7DB1" w:rsidRPr="00BD7FB4" w:rsidRDefault="00CB7DB1" w:rsidP="00FB6980">
            <w:pPr>
              <w:pStyle w:val="TableText"/>
            </w:pPr>
          </w:p>
        </w:tc>
        <w:tc>
          <w:tcPr>
            <w:tcW w:w="3662" w:type="pct"/>
            <w:tcBorders>
              <w:left w:val="single" w:sz="2" w:space="0" w:color="B9B9B9"/>
            </w:tcBorders>
          </w:tcPr>
          <w:p w14:paraId="759AF0F8" w14:textId="77777777" w:rsidR="00CB7DB1" w:rsidRPr="00BD7FB4" w:rsidRDefault="00CB7DB1" w:rsidP="00FB6980">
            <w:pPr>
              <w:pStyle w:val="TableText"/>
            </w:pPr>
          </w:p>
        </w:tc>
      </w:tr>
    </w:tbl>
    <w:p w14:paraId="34929354" w14:textId="77777777" w:rsidR="00CB7DB1" w:rsidRPr="00BD7FB4" w:rsidRDefault="00CB7DB1" w:rsidP="00CB7DB1">
      <w:pPr>
        <w:rPr>
          <w:sz w:val="16"/>
          <w:szCs w:val="16"/>
        </w:rPr>
      </w:pPr>
    </w:p>
    <w:p w14:paraId="762ACB97" w14:textId="77777777" w:rsidR="00CB7DB1" w:rsidRPr="00BD7FB4" w:rsidRDefault="00CB7DB1" w:rsidP="00CB7DB1">
      <w:pPr>
        <w:rPr>
          <w:sz w:val="16"/>
          <w:szCs w:val="16"/>
        </w:rPr>
      </w:pPr>
    </w:p>
    <w:p w14:paraId="62D14408" w14:textId="77777777" w:rsidR="00CB7DB1" w:rsidRPr="00BD7FB4" w:rsidRDefault="00CB7DB1" w:rsidP="00CB7DB1">
      <w:pPr>
        <w:pStyle w:val="DocMgmtSubhead"/>
        <w:rPr>
          <w:color w:val="005EB8" w:themeColor="accent1"/>
          <w:sz w:val="22"/>
        </w:rPr>
      </w:pPr>
      <w:r w:rsidRPr="00BD7FB4">
        <w:rPr>
          <w:color w:val="005EB8" w:themeColor="accent1"/>
          <w:sz w:val="22"/>
        </w:rPr>
        <w:t>Reviewers</w:t>
      </w:r>
    </w:p>
    <w:p w14:paraId="112BE191" w14:textId="77777777" w:rsidR="00CB7DB1" w:rsidRPr="00BD7FB4" w:rsidRDefault="00CB7DB1" w:rsidP="00CB7DB1">
      <w:r w:rsidRPr="00BD7FB4">
        <w:t xml:space="preserve">This document must be reviewed by the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CB7DB1" w:rsidRPr="00BD7FB4" w14:paraId="443222DA" w14:textId="77777777" w:rsidTr="00FB6980">
        <w:tc>
          <w:tcPr>
            <w:tcW w:w="1215" w:type="pct"/>
            <w:tcBorders>
              <w:top w:val="single" w:sz="2" w:space="0" w:color="000000"/>
              <w:bottom w:val="single" w:sz="2" w:space="0" w:color="000000"/>
              <w:right w:val="nil"/>
            </w:tcBorders>
          </w:tcPr>
          <w:p w14:paraId="5B79386A" w14:textId="77777777" w:rsidR="00CB7DB1" w:rsidRPr="00BD7FB4" w:rsidRDefault="00CB7DB1" w:rsidP="00FB6980">
            <w:pPr>
              <w:pStyle w:val="TableHeader"/>
            </w:pPr>
            <w:r w:rsidRPr="00BD7FB4">
              <w:t>Reviewer name</w:t>
            </w:r>
          </w:p>
        </w:tc>
        <w:tc>
          <w:tcPr>
            <w:tcW w:w="2580" w:type="pct"/>
            <w:tcBorders>
              <w:top w:val="single" w:sz="2" w:space="0" w:color="000000"/>
              <w:left w:val="nil"/>
              <w:bottom w:val="single" w:sz="2" w:space="0" w:color="000000"/>
              <w:right w:val="nil"/>
            </w:tcBorders>
          </w:tcPr>
          <w:p w14:paraId="547611F3" w14:textId="77777777" w:rsidR="00CB7DB1" w:rsidRPr="00BD7FB4" w:rsidRDefault="00CB7DB1" w:rsidP="00FB6980">
            <w:pPr>
              <w:pStyle w:val="TableHeader"/>
            </w:pPr>
            <w:r w:rsidRPr="00BD7FB4">
              <w:t>Title / Responsibility</w:t>
            </w:r>
          </w:p>
        </w:tc>
        <w:tc>
          <w:tcPr>
            <w:tcW w:w="713" w:type="pct"/>
            <w:tcBorders>
              <w:top w:val="single" w:sz="2" w:space="0" w:color="000000"/>
              <w:left w:val="nil"/>
              <w:bottom w:val="single" w:sz="2" w:space="0" w:color="000000"/>
              <w:right w:val="nil"/>
            </w:tcBorders>
          </w:tcPr>
          <w:p w14:paraId="509B7024" w14:textId="77777777" w:rsidR="00CB7DB1" w:rsidRPr="00BD7FB4" w:rsidRDefault="00CB7DB1" w:rsidP="00FB6980">
            <w:pPr>
              <w:pStyle w:val="TableHeader"/>
            </w:pPr>
            <w:r w:rsidRPr="00BD7FB4">
              <w:t>Date</w:t>
            </w:r>
          </w:p>
        </w:tc>
        <w:tc>
          <w:tcPr>
            <w:tcW w:w="492" w:type="pct"/>
            <w:tcBorders>
              <w:top w:val="single" w:sz="2" w:space="0" w:color="000000"/>
              <w:left w:val="nil"/>
              <w:bottom w:val="single" w:sz="2" w:space="0" w:color="000000"/>
            </w:tcBorders>
          </w:tcPr>
          <w:p w14:paraId="7629FF40" w14:textId="77777777" w:rsidR="00CB7DB1" w:rsidRPr="00BD7FB4" w:rsidRDefault="00CB7DB1" w:rsidP="00FB6980">
            <w:pPr>
              <w:pStyle w:val="TableHeader"/>
            </w:pPr>
            <w:r w:rsidRPr="00BD7FB4">
              <w:t>Version</w:t>
            </w:r>
          </w:p>
        </w:tc>
      </w:tr>
      <w:tr w:rsidR="00CB7DB1" w:rsidRPr="00BD7FB4" w14:paraId="7BCCEEDD" w14:textId="77777777" w:rsidTr="00FB6980">
        <w:tc>
          <w:tcPr>
            <w:tcW w:w="1215" w:type="pct"/>
            <w:tcBorders>
              <w:right w:val="single" w:sz="2" w:space="0" w:color="B9B9B9"/>
            </w:tcBorders>
          </w:tcPr>
          <w:p w14:paraId="526FCE8D" w14:textId="77777777" w:rsidR="00CB7DB1" w:rsidRPr="00BD7FB4" w:rsidRDefault="00CB7DB1" w:rsidP="00FB6980">
            <w:pPr>
              <w:pStyle w:val="TableText"/>
            </w:pPr>
            <w:r w:rsidRPr="00BD7FB4">
              <w:t>Andrew Harrison</w:t>
            </w:r>
          </w:p>
        </w:tc>
        <w:tc>
          <w:tcPr>
            <w:tcW w:w="2580" w:type="pct"/>
            <w:tcBorders>
              <w:left w:val="single" w:sz="2" w:space="0" w:color="B9B9B9"/>
              <w:right w:val="single" w:sz="2" w:space="0" w:color="B9B9B9"/>
            </w:tcBorders>
          </w:tcPr>
          <w:p w14:paraId="2653CA65" w14:textId="77777777" w:rsidR="00CB7DB1" w:rsidRPr="00BD7FB4" w:rsidRDefault="00CB7DB1" w:rsidP="00FB6980">
            <w:pPr>
              <w:pStyle w:val="TableText"/>
              <w:rPr>
                <w:rFonts w:cs="Arial"/>
              </w:rPr>
            </w:pPr>
            <w:r w:rsidRPr="00BD7FB4">
              <w:rPr>
                <w:rFonts w:cs="Arial"/>
              </w:rPr>
              <w:t>Principal Safety Engineer</w:t>
            </w:r>
            <w:r w:rsidRPr="00BD7FB4">
              <w:t>, ETHOS Ltd.</w:t>
            </w:r>
          </w:p>
        </w:tc>
        <w:tc>
          <w:tcPr>
            <w:tcW w:w="713" w:type="pct"/>
            <w:tcBorders>
              <w:left w:val="single" w:sz="2" w:space="0" w:color="B9B9B9"/>
              <w:right w:val="single" w:sz="2" w:space="0" w:color="B9B9B9"/>
            </w:tcBorders>
          </w:tcPr>
          <w:p w14:paraId="77884FFE" w14:textId="77777777" w:rsidR="00CB7DB1" w:rsidRPr="00BD7FB4" w:rsidRDefault="00CB7DB1" w:rsidP="00FB6980">
            <w:pPr>
              <w:pStyle w:val="TableText"/>
            </w:pPr>
          </w:p>
        </w:tc>
        <w:tc>
          <w:tcPr>
            <w:tcW w:w="492" w:type="pct"/>
            <w:tcBorders>
              <w:left w:val="single" w:sz="2" w:space="0" w:color="B9B9B9"/>
            </w:tcBorders>
          </w:tcPr>
          <w:p w14:paraId="4371B22B" w14:textId="77777777" w:rsidR="00CB7DB1" w:rsidRPr="00BD7FB4" w:rsidRDefault="00CB7DB1" w:rsidP="00FB6980">
            <w:pPr>
              <w:pStyle w:val="TableText"/>
            </w:pPr>
          </w:p>
        </w:tc>
      </w:tr>
      <w:tr w:rsidR="00CB7DB1" w:rsidRPr="00BD7FB4" w14:paraId="37B378A4" w14:textId="77777777" w:rsidTr="00FB6980">
        <w:tc>
          <w:tcPr>
            <w:tcW w:w="1215" w:type="pct"/>
            <w:tcBorders>
              <w:right w:val="single" w:sz="2" w:space="0" w:color="B9B9B9"/>
            </w:tcBorders>
          </w:tcPr>
          <w:p w14:paraId="7FF48CEB" w14:textId="77777777" w:rsidR="00CB7DB1" w:rsidRPr="00625D2F" w:rsidRDefault="00CB7DB1" w:rsidP="00FB6980">
            <w:pPr>
              <w:pStyle w:val="TableText"/>
              <w:rPr>
                <w:rFonts w:cs="Arial"/>
              </w:rPr>
            </w:pPr>
            <w:r w:rsidRPr="00625D2F">
              <w:rPr>
                <w:rFonts w:cs="Arial"/>
              </w:rPr>
              <w:t>Zak Bickhan</w:t>
            </w:r>
          </w:p>
          <w:p w14:paraId="63CEFE4B" w14:textId="77777777" w:rsidR="00CB7DB1" w:rsidRPr="00BD7FB4" w:rsidRDefault="00CB7DB1" w:rsidP="00FB6980">
            <w:pPr>
              <w:pStyle w:val="TableText"/>
            </w:pPr>
          </w:p>
        </w:tc>
        <w:tc>
          <w:tcPr>
            <w:tcW w:w="2580" w:type="pct"/>
            <w:tcBorders>
              <w:left w:val="single" w:sz="2" w:space="0" w:color="B9B9B9"/>
              <w:right w:val="single" w:sz="2" w:space="0" w:color="B9B9B9"/>
            </w:tcBorders>
          </w:tcPr>
          <w:p w14:paraId="16FE64E1" w14:textId="77777777" w:rsidR="00CB7DB1" w:rsidRPr="00625D2F" w:rsidRDefault="00CB7DB1" w:rsidP="00FB6980">
            <w:pPr>
              <w:pStyle w:val="TableText"/>
              <w:rPr>
                <w:rFonts w:cs="Arial"/>
              </w:rPr>
            </w:pPr>
            <w:r w:rsidRPr="00625D2F">
              <w:rPr>
                <w:rFonts w:cs="Arial"/>
              </w:rPr>
              <w:t>Clinical Informatics Safety Officer | Assurance</w:t>
            </w:r>
          </w:p>
          <w:p w14:paraId="3870D937" w14:textId="77777777" w:rsidR="00CB7DB1" w:rsidRPr="00625D2F" w:rsidRDefault="00CB7DB1" w:rsidP="00FB6980">
            <w:pPr>
              <w:pStyle w:val="TableText"/>
              <w:rPr>
                <w:rFonts w:cs="Arial"/>
              </w:rPr>
            </w:pPr>
            <w:r w:rsidRPr="00625D2F">
              <w:rPr>
                <w:rFonts w:cs="Arial"/>
              </w:rPr>
              <w:t>Digital Clinical Informatics | Safety Team</w:t>
            </w:r>
          </w:p>
          <w:p w14:paraId="5C49E5C6" w14:textId="77777777" w:rsidR="00CB7DB1" w:rsidRPr="00BD7FB4" w:rsidRDefault="00CB7DB1" w:rsidP="00FB6980">
            <w:pPr>
              <w:pStyle w:val="TableText"/>
              <w:rPr>
                <w:rFonts w:cs="Arial"/>
              </w:rPr>
            </w:pPr>
            <w:r w:rsidRPr="00625D2F">
              <w:rPr>
                <w:rFonts w:cs="Arial"/>
              </w:rPr>
              <w:t>Transformation Directorate | NHS England</w:t>
            </w:r>
          </w:p>
        </w:tc>
        <w:tc>
          <w:tcPr>
            <w:tcW w:w="713" w:type="pct"/>
            <w:tcBorders>
              <w:left w:val="single" w:sz="2" w:space="0" w:color="B9B9B9"/>
              <w:right w:val="single" w:sz="2" w:space="0" w:color="B9B9B9"/>
            </w:tcBorders>
          </w:tcPr>
          <w:p w14:paraId="1A00D21F" w14:textId="77777777" w:rsidR="00CB7DB1" w:rsidRPr="00BD7FB4" w:rsidRDefault="00CB7DB1" w:rsidP="00FB6980">
            <w:pPr>
              <w:pStyle w:val="TableText"/>
            </w:pPr>
          </w:p>
        </w:tc>
        <w:tc>
          <w:tcPr>
            <w:tcW w:w="492" w:type="pct"/>
            <w:tcBorders>
              <w:left w:val="single" w:sz="2" w:space="0" w:color="B9B9B9"/>
            </w:tcBorders>
          </w:tcPr>
          <w:p w14:paraId="2C89A609" w14:textId="77777777" w:rsidR="00CB7DB1" w:rsidRPr="00BD7FB4" w:rsidRDefault="00CB7DB1" w:rsidP="00FB6980">
            <w:pPr>
              <w:pStyle w:val="TableText"/>
            </w:pPr>
          </w:p>
        </w:tc>
      </w:tr>
      <w:tr w:rsidR="00CB7DB1" w:rsidRPr="00BD7FB4" w14:paraId="1522E82D" w14:textId="77777777" w:rsidTr="00FB6980">
        <w:tc>
          <w:tcPr>
            <w:tcW w:w="1215" w:type="pct"/>
            <w:tcBorders>
              <w:right w:val="single" w:sz="2" w:space="0" w:color="B9B9B9"/>
            </w:tcBorders>
          </w:tcPr>
          <w:p w14:paraId="7B280F74" w14:textId="77777777" w:rsidR="00CB7DB1" w:rsidRPr="00BD7FB4" w:rsidRDefault="00CB7DB1" w:rsidP="00FB6980">
            <w:pPr>
              <w:pStyle w:val="TableText"/>
            </w:pPr>
          </w:p>
        </w:tc>
        <w:tc>
          <w:tcPr>
            <w:tcW w:w="2580" w:type="pct"/>
            <w:tcBorders>
              <w:left w:val="single" w:sz="2" w:space="0" w:color="B9B9B9"/>
              <w:right w:val="single" w:sz="2" w:space="0" w:color="B9B9B9"/>
            </w:tcBorders>
            <w:shd w:val="clear" w:color="auto" w:fill="FFFF00"/>
          </w:tcPr>
          <w:p w14:paraId="4AE5DA37" w14:textId="77777777" w:rsidR="00CB7DB1" w:rsidRDefault="00CB7DB1" w:rsidP="00FB6980">
            <w:pPr>
              <w:pStyle w:val="TableText"/>
              <w:rPr>
                <w:rFonts w:cs="Arial"/>
              </w:rPr>
            </w:pPr>
            <w:r>
              <w:rPr>
                <w:rFonts w:cs="Arial"/>
              </w:rPr>
              <w:t>Governance TBA</w:t>
            </w:r>
          </w:p>
          <w:p w14:paraId="6EF13A3B" w14:textId="77777777" w:rsidR="00CB7DB1" w:rsidRDefault="00CB7DB1" w:rsidP="00FB6980">
            <w:pPr>
              <w:pStyle w:val="TableText"/>
              <w:rPr>
                <w:rFonts w:cs="Arial"/>
              </w:rPr>
            </w:pPr>
          </w:p>
          <w:p w14:paraId="3753E9DD" w14:textId="77777777" w:rsidR="00CB7DB1" w:rsidRPr="00BD7FB4" w:rsidRDefault="00CB7DB1" w:rsidP="00FB6980">
            <w:pPr>
              <w:pStyle w:val="TableText"/>
              <w:rPr>
                <w:rFonts w:cs="Arial"/>
              </w:rPr>
            </w:pPr>
          </w:p>
        </w:tc>
        <w:tc>
          <w:tcPr>
            <w:tcW w:w="713" w:type="pct"/>
            <w:tcBorders>
              <w:left w:val="single" w:sz="2" w:space="0" w:color="B9B9B9"/>
              <w:right w:val="single" w:sz="2" w:space="0" w:color="B9B9B9"/>
            </w:tcBorders>
          </w:tcPr>
          <w:p w14:paraId="293F83A6" w14:textId="77777777" w:rsidR="00CB7DB1" w:rsidRPr="00BD7FB4" w:rsidRDefault="00CB7DB1" w:rsidP="00FB6980">
            <w:pPr>
              <w:pStyle w:val="TableText"/>
            </w:pPr>
          </w:p>
        </w:tc>
        <w:tc>
          <w:tcPr>
            <w:tcW w:w="492" w:type="pct"/>
            <w:tcBorders>
              <w:left w:val="single" w:sz="2" w:space="0" w:color="B9B9B9"/>
            </w:tcBorders>
          </w:tcPr>
          <w:p w14:paraId="04AA5246" w14:textId="77777777" w:rsidR="00CB7DB1" w:rsidRPr="00BD7FB4" w:rsidRDefault="00CB7DB1" w:rsidP="00FB6980">
            <w:pPr>
              <w:pStyle w:val="TableText"/>
            </w:pPr>
          </w:p>
        </w:tc>
      </w:tr>
      <w:tr w:rsidR="00CB7DB1" w:rsidRPr="00BD7FB4" w14:paraId="4B19B111" w14:textId="77777777" w:rsidTr="00FB6980">
        <w:tc>
          <w:tcPr>
            <w:tcW w:w="1215" w:type="pct"/>
            <w:tcBorders>
              <w:right w:val="single" w:sz="2" w:space="0" w:color="B9B9B9"/>
            </w:tcBorders>
          </w:tcPr>
          <w:p w14:paraId="7731C848" w14:textId="77777777" w:rsidR="00CB7DB1" w:rsidRPr="00BD7FB4" w:rsidRDefault="00CB7DB1" w:rsidP="00FB6980">
            <w:pPr>
              <w:pStyle w:val="TableText"/>
            </w:pPr>
          </w:p>
        </w:tc>
        <w:tc>
          <w:tcPr>
            <w:tcW w:w="2580" w:type="pct"/>
            <w:tcBorders>
              <w:left w:val="single" w:sz="2" w:space="0" w:color="B9B9B9"/>
              <w:right w:val="single" w:sz="2" w:space="0" w:color="B9B9B9"/>
            </w:tcBorders>
          </w:tcPr>
          <w:p w14:paraId="4BDD6C5D" w14:textId="77777777" w:rsidR="00CB7DB1" w:rsidRPr="00BD7FB4" w:rsidRDefault="00CB7DB1" w:rsidP="00FB6980">
            <w:pPr>
              <w:pStyle w:val="TableText"/>
              <w:rPr>
                <w:rFonts w:cs="Arial"/>
              </w:rPr>
            </w:pPr>
          </w:p>
        </w:tc>
        <w:tc>
          <w:tcPr>
            <w:tcW w:w="713" w:type="pct"/>
            <w:tcBorders>
              <w:left w:val="single" w:sz="2" w:space="0" w:color="B9B9B9"/>
              <w:right w:val="single" w:sz="2" w:space="0" w:color="B9B9B9"/>
            </w:tcBorders>
          </w:tcPr>
          <w:p w14:paraId="08930F85" w14:textId="77777777" w:rsidR="00CB7DB1" w:rsidRPr="00BD7FB4" w:rsidRDefault="00CB7DB1" w:rsidP="00FB6980">
            <w:pPr>
              <w:pStyle w:val="TableText"/>
            </w:pPr>
          </w:p>
        </w:tc>
        <w:tc>
          <w:tcPr>
            <w:tcW w:w="492" w:type="pct"/>
            <w:tcBorders>
              <w:left w:val="single" w:sz="2" w:space="0" w:color="B9B9B9"/>
            </w:tcBorders>
          </w:tcPr>
          <w:p w14:paraId="0CC70BBB" w14:textId="77777777" w:rsidR="00CB7DB1" w:rsidRPr="00BD7FB4" w:rsidRDefault="00CB7DB1" w:rsidP="00FB6980">
            <w:pPr>
              <w:pStyle w:val="TableText"/>
            </w:pPr>
          </w:p>
        </w:tc>
      </w:tr>
      <w:tr w:rsidR="00CB7DB1" w:rsidRPr="00BD7FB4" w14:paraId="10D12D62" w14:textId="77777777" w:rsidTr="00FB6980">
        <w:tc>
          <w:tcPr>
            <w:tcW w:w="1215" w:type="pct"/>
            <w:tcBorders>
              <w:right w:val="single" w:sz="2" w:space="0" w:color="B9B9B9"/>
            </w:tcBorders>
          </w:tcPr>
          <w:p w14:paraId="33AAB27E" w14:textId="77777777" w:rsidR="00CB7DB1" w:rsidRPr="00BD7FB4" w:rsidRDefault="00CB7DB1" w:rsidP="00FB6980">
            <w:pPr>
              <w:pStyle w:val="TableText"/>
            </w:pPr>
          </w:p>
        </w:tc>
        <w:tc>
          <w:tcPr>
            <w:tcW w:w="2580" w:type="pct"/>
            <w:tcBorders>
              <w:left w:val="single" w:sz="2" w:space="0" w:color="B9B9B9"/>
              <w:right w:val="single" w:sz="2" w:space="0" w:color="B9B9B9"/>
            </w:tcBorders>
          </w:tcPr>
          <w:p w14:paraId="368E5308" w14:textId="77777777" w:rsidR="00CB7DB1" w:rsidRPr="00BD7FB4" w:rsidRDefault="00CB7DB1" w:rsidP="00FB6980">
            <w:pPr>
              <w:pStyle w:val="TableText"/>
              <w:rPr>
                <w:rFonts w:cs="Arial"/>
              </w:rPr>
            </w:pPr>
          </w:p>
        </w:tc>
        <w:tc>
          <w:tcPr>
            <w:tcW w:w="713" w:type="pct"/>
            <w:tcBorders>
              <w:left w:val="single" w:sz="2" w:space="0" w:color="B9B9B9"/>
              <w:right w:val="single" w:sz="2" w:space="0" w:color="B9B9B9"/>
            </w:tcBorders>
          </w:tcPr>
          <w:p w14:paraId="0D1429C9" w14:textId="77777777" w:rsidR="00CB7DB1" w:rsidRPr="00BD7FB4" w:rsidRDefault="00CB7DB1" w:rsidP="00FB6980">
            <w:pPr>
              <w:pStyle w:val="TableText"/>
            </w:pPr>
          </w:p>
        </w:tc>
        <w:tc>
          <w:tcPr>
            <w:tcW w:w="492" w:type="pct"/>
            <w:tcBorders>
              <w:left w:val="single" w:sz="2" w:space="0" w:color="B9B9B9"/>
            </w:tcBorders>
          </w:tcPr>
          <w:p w14:paraId="5993A942" w14:textId="77777777" w:rsidR="00CB7DB1" w:rsidRPr="00BD7FB4" w:rsidRDefault="00CB7DB1" w:rsidP="00FB6980">
            <w:pPr>
              <w:pStyle w:val="TableText"/>
            </w:pPr>
          </w:p>
        </w:tc>
      </w:tr>
      <w:tr w:rsidR="00CB7DB1" w:rsidRPr="00BD7FB4" w14:paraId="1FEB864E" w14:textId="77777777" w:rsidTr="00FB6980">
        <w:tc>
          <w:tcPr>
            <w:tcW w:w="1215" w:type="pct"/>
            <w:tcBorders>
              <w:right w:val="single" w:sz="2" w:space="0" w:color="B9B9B9"/>
            </w:tcBorders>
          </w:tcPr>
          <w:p w14:paraId="43C6CB5D" w14:textId="77777777" w:rsidR="00CB7DB1" w:rsidRPr="00BD7FB4" w:rsidRDefault="00CB7DB1" w:rsidP="00FB6980">
            <w:pPr>
              <w:pStyle w:val="TableText"/>
            </w:pPr>
          </w:p>
        </w:tc>
        <w:tc>
          <w:tcPr>
            <w:tcW w:w="2580" w:type="pct"/>
            <w:tcBorders>
              <w:left w:val="single" w:sz="2" w:space="0" w:color="B9B9B9"/>
              <w:right w:val="single" w:sz="2" w:space="0" w:color="B9B9B9"/>
            </w:tcBorders>
          </w:tcPr>
          <w:p w14:paraId="3C74828E" w14:textId="77777777" w:rsidR="00CB7DB1" w:rsidRPr="00BD7FB4" w:rsidRDefault="00CB7DB1" w:rsidP="00FB6980">
            <w:pPr>
              <w:pStyle w:val="TableText"/>
              <w:rPr>
                <w:rFonts w:cs="Arial"/>
              </w:rPr>
            </w:pPr>
          </w:p>
        </w:tc>
        <w:tc>
          <w:tcPr>
            <w:tcW w:w="713" w:type="pct"/>
            <w:tcBorders>
              <w:left w:val="single" w:sz="2" w:space="0" w:color="B9B9B9"/>
              <w:right w:val="single" w:sz="2" w:space="0" w:color="B9B9B9"/>
            </w:tcBorders>
          </w:tcPr>
          <w:p w14:paraId="5CC15E45" w14:textId="77777777" w:rsidR="00CB7DB1" w:rsidRPr="00BD7FB4" w:rsidRDefault="00CB7DB1" w:rsidP="00FB6980">
            <w:pPr>
              <w:pStyle w:val="TableText"/>
            </w:pPr>
          </w:p>
        </w:tc>
        <w:tc>
          <w:tcPr>
            <w:tcW w:w="492" w:type="pct"/>
            <w:tcBorders>
              <w:left w:val="single" w:sz="2" w:space="0" w:color="B9B9B9"/>
            </w:tcBorders>
          </w:tcPr>
          <w:p w14:paraId="014A715C" w14:textId="77777777" w:rsidR="00CB7DB1" w:rsidRPr="00BD7FB4" w:rsidRDefault="00CB7DB1" w:rsidP="00FB6980">
            <w:pPr>
              <w:pStyle w:val="TableText"/>
            </w:pPr>
          </w:p>
        </w:tc>
      </w:tr>
      <w:tr w:rsidR="00CB7DB1" w:rsidRPr="00BD7FB4" w14:paraId="2B1A827D" w14:textId="77777777" w:rsidTr="00FB6980">
        <w:tc>
          <w:tcPr>
            <w:tcW w:w="1215" w:type="pct"/>
            <w:tcBorders>
              <w:right w:val="single" w:sz="2" w:space="0" w:color="B9B9B9"/>
            </w:tcBorders>
          </w:tcPr>
          <w:p w14:paraId="298C1470" w14:textId="77777777" w:rsidR="00CB7DB1" w:rsidRPr="00BD7FB4" w:rsidRDefault="00CB7DB1" w:rsidP="00FB6980">
            <w:pPr>
              <w:pStyle w:val="TableText"/>
            </w:pPr>
          </w:p>
        </w:tc>
        <w:tc>
          <w:tcPr>
            <w:tcW w:w="2580" w:type="pct"/>
            <w:tcBorders>
              <w:left w:val="single" w:sz="2" w:space="0" w:color="B9B9B9"/>
              <w:right w:val="single" w:sz="2" w:space="0" w:color="B9B9B9"/>
            </w:tcBorders>
          </w:tcPr>
          <w:p w14:paraId="7DF8D135" w14:textId="77777777" w:rsidR="00CB7DB1" w:rsidRPr="00BD7FB4" w:rsidRDefault="00CB7DB1" w:rsidP="00FB6980">
            <w:pPr>
              <w:pStyle w:val="TableText"/>
              <w:rPr>
                <w:rFonts w:cs="Arial"/>
              </w:rPr>
            </w:pPr>
          </w:p>
        </w:tc>
        <w:tc>
          <w:tcPr>
            <w:tcW w:w="713" w:type="pct"/>
            <w:tcBorders>
              <w:left w:val="single" w:sz="2" w:space="0" w:color="B9B9B9"/>
              <w:right w:val="single" w:sz="2" w:space="0" w:color="B9B9B9"/>
            </w:tcBorders>
          </w:tcPr>
          <w:p w14:paraId="4D7ECF82" w14:textId="77777777" w:rsidR="00CB7DB1" w:rsidRPr="00BD7FB4" w:rsidRDefault="00CB7DB1" w:rsidP="00FB6980">
            <w:pPr>
              <w:pStyle w:val="TableText"/>
            </w:pPr>
          </w:p>
        </w:tc>
        <w:tc>
          <w:tcPr>
            <w:tcW w:w="492" w:type="pct"/>
            <w:tcBorders>
              <w:left w:val="single" w:sz="2" w:space="0" w:color="B9B9B9"/>
            </w:tcBorders>
          </w:tcPr>
          <w:p w14:paraId="14EB8A04" w14:textId="77777777" w:rsidR="00CB7DB1" w:rsidRPr="00BD7FB4" w:rsidRDefault="00CB7DB1" w:rsidP="00FB6980">
            <w:pPr>
              <w:pStyle w:val="TableText"/>
            </w:pPr>
          </w:p>
        </w:tc>
      </w:tr>
    </w:tbl>
    <w:p w14:paraId="330CB061" w14:textId="77777777" w:rsidR="00CB7DB1" w:rsidRPr="00BD7FB4" w:rsidRDefault="00CB7DB1" w:rsidP="00CB7DB1">
      <w:pPr>
        <w:rPr>
          <w:sz w:val="16"/>
          <w:szCs w:val="16"/>
        </w:rPr>
      </w:pPr>
    </w:p>
    <w:p w14:paraId="08D75135" w14:textId="77777777" w:rsidR="00CB7DB1" w:rsidRPr="00BD7FB4" w:rsidRDefault="00CB7DB1" w:rsidP="00CB7DB1">
      <w:pPr>
        <w:pStyle w:val="DocMgmtSubhead"/>
        <w:rPr>
          <w:color w:val="005EB8" w:themeColor="accent1"/>
          <w:sz w:val="22"/>
        </w:rPr>
      </w:pPr>
      <w:r w:rsidRPr="00BD7FB4">
        <w:rPr>
          <w:color w:val="005EB8" w:themeColor="accent1"/>
          <w:sz w:val="22"/>
        </w:rPr>
        <w:t>Approved by</w:t>
      </w:r>
    </w:p>
    <w:p w14:paraId="47531B2C" w14:textId="77777777" w:rsidR="00CB7DB1" w:rsidRPr="00BD7FB4" w:rsidRDefault="00CB7DB1" w:rsidP="00CB7DB1">
      <w:r w:rsidRPr="00BD7FB4">
        <w:t xml:space="preserve">This document must be approved by the following people: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CB7DB1" w:rsidRPr="00BD7FB4" w14:paraId="10B7A157" w14:textId="77777777" w:rsidTr="00FB6980">
        <w:trPr>
          <w:trHeight w:val="290"/>
        </w:trPr>
        <w:tc>
          <w:tcPr>
            <w:tcW w:w="1214" w:type="pct"/>
            <w:tcBorders>
              <w:top w:val="single" w:sz="2" w:space="0" w:color="000000"/>
              <w:bottom w:val="single" w:sz="2" w:space="0" w:color="000000"/>
            </w:tcBorders>
          </w:tcPr>
          <w:p w14:paraId="5A46344F" w14:textId="77777777" w:rsidR="00CB7DB1" w:rsidRPr="00BD7FB4" w:rsidRDefault="00CB7DB1" w:rsidP="00FB6980">
            <w:pPr>
              <w:pStyle w:val="TableHeader"/>
            </w:pPr>
            <w:r w:rsidRPr="00BD7FB4">
              <w:t>Name</w:t>
            </w:r>
          </w:p>
        </w:tc>
        <w:tc>
          <w:tcPr>
            <w:tcW w:w="2571" w:type="pct"/>
            <w:tcBorders>
              <w:top w:val="single" w:sz="2" w:space="0" w:color="000000"/>
              <w:bottom w:val="single" w:sz="2" w:space="0" w:color="000000"/>
            </w:tcBorders>
          </w:tcPr>
          <w:p w14:paraId="5251A5EC" w14:textId="77777777" w:rsidR="00CB7DB1" w:rsidRPr="00BD7FB4" w:rsidRDefault="00CB7DB1" w:rsidP="00FB6980">
            <w:pPr>
              <w:pStyle w:val="TableHeader"/>
            </w:pPr>
            <w:r w:rsidRPr="00BD7FB4">
              <w:t>Title</w:t>
            </w:r>
          </w:p>
        </w:tc>
        <w:tc>
          <w:tcPr>
            <w:tcW w:w="715" w:type="pct"/>
            <w:tcBorders>
              <w:top w:val="single" w:sz="2" w:space="0" w:color="000000"/>
              <w:bottom w:val="single" w:sz="2" w:space="0" w:color="000000"/>
            </w:tcBorders>
          </w:tcPr>
          <w:p w14:paraId="215725CE" w14:textId="77777777" w:rsidR="00CB7DB1" w:rsidRPr="00BD7FB4" w:rsidRDefault="00CB7DB1" w:rsidP="00FB6980">
            <w:pPr>
              <w:pStyle w:val="TableHeader"/>
            </w:pPr>
            <w:r w:rsidRPr="00BD7FB4">
              <w:t xml:space="preserve">Date </w:t>
            </w:r>
          </w:p>
        </w:tc>
        <w:tc>
          <w:tcPr>
            <w:tcW w:w="500" w:type="pct"/>
            <w:tcBorders>
              <w:top w:val="single" w:sz="2" w:space="0" w:color="000000"/>
              <w:bottom w:val="single" w:sz="2" w:space="0" w:color="000000"/>
            </w:tcBorders>
          </w:tcPr>
          <w:p w14:paraId="275205DC" w14:textId="77777777" w:rsidR="00CB7DB1" w:rsidRPr="00BD7FB4" w:rsidRDefault="00CB7DB1" w:rsidP="00FB6980">
            <w:pPr>
              <w:pStyle w:val="TableHeader"/>
            </w:pPr>
            <w:r w:rsidRPr="00BD7FB4">
              <w:t>Version</w:t>
            </w:r>
          </w:p>
        </w:tc>
      </w:tr>
      <w:tr w:rsidR="00CB7DB1" w:rsidRPr="00BD7FB4" w14:paraId="5364B417" w14:textId="77777777" w:rsidTr="00FB6980">
        <w:trPr>
          <w:trHeight w:val="290"/>
        </w:trPr>
        <w:tc>
          <w:tcPr>
            <w:tcW w:w="1214" w:type="pct"/>
            <w:tcBorders>
              <w:top w:val="single" w:sz="2" w:space="0" w:color="000000"/>
              <w:bottom w:val="single" w:sz="2" w:space="0" w:color="000000"/>
              <w:right w:val="single" w:sz="2" w:space="0" w:color="B9B9B9"/>
            </w:tcBorders>
          </w:tcPr>
          <w:p w14:paraId="6FB546F7" w14:textId="77777777" w:rsidR="00CB7DB1" w:rsidRPr="00BD7FB4" w:rsidRDefault="00CB7DB1" w:rsidP="00FB6980">
            <w:pPr>
              <w:pStyle w:val="TableText"/>
              <w:rPr>
                <w:szCs w:val="20"/>
              </w:rPr>
            </w:pPr>
            <w:r w:rsidRPr="0016621B">
              <w:rPr>
                <w:szCs w:val="20"/>
              </w:rPr>
              <w:t>Dr Joe Barnett</w:t>
            </w:r>
          </w:p>
        </w:tc>
        <w:tc>
          <w:tcPr>
            <w:tcW w:w="2571" w:type="pct"/>
            <w:tcBorders>
              <w:top w:val="single" w:sz="2" w:space="0" w:color="000000"/>
              <w:left w:val="single" w:sz="2" w:space="0" w:color="B9B9B9"/>
              <w:bottom w:val="single" w:sz="2" w:space="0" w:color="000000"/>
              <w:right w:val="single" w:sz="2" w:space="0" w:color="B9B9B9"/>
            </w:tcBorders>
          </w:tcPr>
          <w:p w14:paraId="1870730F" w14:textId="77777777" w:rsidR="00CB7DB1" w:rsidRPr="00BD7FB4" w:rsidRDefault="00CB7DB1" w:rsidP="00FB6980">
            <w:pPr>
              <w:pStyle w:val="TableText"/>
              <w:rPr>
                <w:szCs w:val="20"/>
              </w:rPr>
            </w:pPr>
            <w:r w:rsidRPr="0016621B">
              <w:rPr>
                <w:szCs w:val="20"/>
              </w:rPr>
              <w:t>National Specialty Advisor for Imaging (AI and Digital) NHS England. </w:t>
            </w:r>
          </w:p>
        </w:tc>
        <w:tc>
          <w:tcPr>
            <w:tcW w:w="715" w:type="pct"/>
            <w:tcBorders>
              <w:top w:val="single" w:sz="2" w:space="0" w:color="000000"/>
              <w:left w:val="single" w:sz="2" w:space="0" w:color="B9B9B9"/>
              <w:bottom w:val="single" w:sz="2" w:space="0" w:color="000000"/>
              <w:right w:val="single" w:sz="2" w:space="0" w:color="B9B9B9"/>
            </w:tcBorders>
          </w:tcPr>
          <w:p w14:paraId="2CFACDB5" w14:textId="77777777" w:rsidR="00CB7DB1" w:rsidRPr="00BD7FB4" w:rsidRDefault="00CB7DB1" w:rsidP="00FB6980">
            <w:pPr>
              <w:pStyle w:val="TableText"/>
            </w:pPr>
          </w:p>
        </w:tc>
        <w:tc>
          <w:tcPr>
            <w:tcW w:w="500" w:type="pct"/>
            <w:tcBorders>
              <w:top w:val="single" w:sz="2" w:space="0" w:color="000000"/>
              <w:left w:val="single" w:sz="2" w:space="0" w:color="B9B9B9"/>
              <w:bottom w:val="single" w:sz="2" w:space="0" w:color="000000"/>
            </w:tcBorders>
          </w:tcPr>
          <w:p w14:paraId="2CB268A1" w14:textId="77777777" w:rsidR="00CB7DB1" w:rsidRPr="00BD7FB4" w:rsidRDefault="00CB7DB1" w:rsidP="00FB6980">
            <w:pPr>
              <w:pStyle w:val="TableText"/>
            </w:pPr>
          </w:p>
        </w:tc>
      </w:tr>
      <w:tr w:rsidR="00CB7DB1" w:rsidRPr="00BD7FB4" w14:paraId="3D91A44A" w14:textId="77777777" w:rsidTr="00FB6980">
        <w:trPr>
          <w:trHeight w:val="290"/>
        </w:trPr>
        <w:tc>
          <w:tcPr>
            <w:tcW w:w="1214" w:type="pct"/>
            <w:tcBorders>
              <w:top w:val="single" w:sz="2" w:space="0" w:color="000000"/>
              <w:bottom w:val="single" w:sz="2" w:space="0" w:color="000000"/>
              <w:right w:val="single" w:sz="2" w:space="0" w:color="B9B9B9"/>
            </w:tcBorders>
          </w:tcPr>
          <w:p w14:paraId="595DBAC2" w14:textId="77777777" w:rsidR="00CB7DB1" w:rsidRPr="00BD7FB4" w:rsidRDefault="00CB7DB1" w:rsidP="00FB6980">
            <w:pPr>
              <w:pStyle w:val="TableText"/>
              <w:rPr>
                <w:szCs w:val="20"/>
              </w:rPr>
            </w:pPr>
            <w:r>
              <w:rPr>
                <w:szCs w:val="20"/>
              </w:rPr>
              <w:t>Savan Shah</w:t>
            </w:r>
            <w:r w:rsidRPr="00BD7FB4">
              <w:rPr>
                <w:szCs w:val="20"/>
              </w:rPr>
              <w:t xml:space="preserve">  </w:t>
            </w:r>
          </w:p>
        </w:tc>
        <w:tc>
          <w:tcPr>
            <w:tcW w:w="2571" w:type="pct"/>
            <w:tcBorders>
              <w:top w:val="single" w:sz="2" w:space="0" w:color="000000"/>
              <w:left w:val="single" w:sz="2" w:space="0" w:color="B9B9B9"/>
              <w:bottom w:val="single" w:sz="2" w:space="0" w:color="000000"/>
              <w:right w:val="single" w:sz="2" w:space="0" w:color="B9B9B9"/>
            </w:tcBorders>
          </w:tcPr>
          <w:p w14:paraId="7BD28D99" w14:textId="77777777" w:rsidR="00CB7DB1" w:rsidRPr="00BD7FB4" w:rsidRDefault="00CB7DB1" w:rsidP="00FB6980">
            <w:pPr>
              <w:pStyle w:val="TableText"/>
            </w:pPr>
            <w:r w:rsidRPr="00BD7FB4">
              <w:t>Head of Clinical Safety, ETHOS Ltd.</w:t>
            </w:r>
          </w:p>
        </w:tc>
        <w:tc>
          <w:tcPr>
            <w:tcW w:w="715" w:type="pct"/>
            <w:tcBorders>
              <w:top w:val="single" w:sz="2" w:space="0" w:color="000000"/>
              <w:left w:val="single" w:sz="2" w:space="0" w:color="B9B9B9"/>
              <w:bottom w:val="single" w:sz="2" w:space="0" w:color="000000"/>
              <w:right w:val="single" w:sz="2" w:space="0" w:color="B9B9B9"/>
            </w:tcBorders>
          </w:tcPr>
          <w:p w14:paraId="578F20B7" w14:textId="77777777" w:rsidR="00CB7DB1" w:rsidRPr="00BD7FB4" w:rsidRDefault="00CB7DB1" w:rsidP="00FB6980">
            <w:pPr>
              <w:pStyle w:val="TableText"/>
            </w:pPr>
          </w:p>
        </w:tc>
        <w:tc>
          <w:tcPr>
            <w:tcW w:w="500" w:type="pct"/>
            <w:tcBorders>
              <w:top w:val="single" w:sz="2" w:space="0" w:color="000000"/>
              <w:left w:val="single" w:sz="2" w:space="0" w:color="B9B9B9"/>
              <w:bottom w:val="single" w:sz="2" w:space="0" w:color="000000"/>
            </w:tcBorders>
          </w:tcPr>
          <w:p w14:paraId="28E6E951" w14:textId="77777777" w:rsidR="00CB7DB1" w:rsidRPr="00BD7FB4" w:rsidRDefault="00CB7DB1" w:rsidP="00FB6980">
            <w:pPr>
              <w:pStyle w:val="TableText"/>
            </w:pPr>
          </w:p>
        </w:tc>
      </w:tr>
    </w:tbl>
    <w:p w14:paraId="175878E3" w14:textId="77777777" w:rsidR="00CB7DB1" w:rsidRPr="00BD7FB4" w:rsidRDefault="00CB7DB1" w:rsidP="00CB7DB1">
      <w:pPr>
        <w:pStyle w:val="DocMgmtSubhead"/>
        <w:rPr>
          <w:color w:val="005EB8" w:themeColor="accent1"/>
          <w:sz w:val="16"/>
          <w:szCs w:val="16"/>
        </w:rPr>
      </w:pPr>
    </w:p>
    <w:p w14:paraId="38225350" w14:textId="77777777" w:rsidR="00CB7DB1" w:rsidRDefault="00CB7DB1" w:rsidP="00CB7DB1">
      <w:pPr>
        <w:pStyle w:val="DocMgmtSubhead"/>
        <w:rPr>
          <w:color w:val="005EB8" w:themeColor="accent1"/>
          <w:sz w:val="16"/>
          <w:szCs w:val="16"/>
        </w:rPr>
      </w:pPr>
    </w:p>
    <w:p w14:paraId="17E2FC68" w14:textId="77777777" w:rsidR="00CB7DB1" w:rsidRPr="00BD7FB4" w:rsidRDefault="00CB7DB1" w:rsidP="00CB7DB1">
      <w:pPr>
        <w:pStyle w:val="DocMgmtSubhead"/>
        <w:spacing w:line="240" w:lineRule="auto"/>
        <w:rPr>
          <w:color w:val="005EB8" w:themeColor="accent1"/>
          <w:sz w:val="22"/>
        </w:rPr>
        <w:sectPr w:rsidR="00CB7DB1" w:rsidRPr="00BD7FB4" w:rsidSect="00CB7DB1">
          <w:pgSz w:w="11906" w:h="16838"/>
          <w:pgMar w:top="1021" w:right="1021" w:bottom="1021" w:left="1021" w:header="454" w:footer="557" w:gutter="0"/>
          <w:cols w:space="708"/>
          <w:docGrid w:linePitch="360"/>
        </w:sectPr>
      </w:pPr>
    </w:p>
    <w:p w14:paraId="79F9DB2C" w14:textId="77777777" w:rsidR="00CB7DB1" w:rsidRDefault="00CB7DB1" w:rsidP="00105D26">
      <w:pPr>
        <w:pStyle w:val="Heading2"/>
        <w:rPr>
          <w:rStyle w:val="Strong"/>
          <w:rFonts w:ascii="Arial" w:hAnsi="Arial" w:cs="Arial"/>
          <w:b/>
          <w:bCs w:val="0"/>
          <w:color w:val="0F0F0F" w:themeColor="text1"/>
          <w:sz w:val="24"/>
          <w:szCs w:val="24"/>
        </w:rPr>
      </w:pPr>
    </w:p>
    <w:p w14:paraId="015A2C70" w14:textId="77777777" w:rsidR="00CB7DB1" w:rsidRPr="00894104" w:rsidRDefault="00CB7DB1" w:rsidP="00105D26">
      <w:pPr>
        <w:pStyle w:val="Heading2"/>
      </w:pPr>
      <w:r w:rsidRPr="00894104">
        <w:rPr>
          <w:rStyle w:val="Strong"/>
          <w:rFonts w:ascii="Arial" w:hAnsi="Arial" w:cs="Arial"/>
          <w:color w:val="0F0F0F" w:themeColor="text1"/>
          <w:sz w:val="36"/>
          <w:szCs w:val="36"/>
          <w:u w:val="single"/>
        </w:rPr>
        <w:t>Medical Device Determination</w:t>
      </w:r>
    </w:p>
    <w:p w14:paraId="7B676521" w14:textId="77777777" w:rsidR="00CB7DB1" w:rsidRPr="00894104" w:rsidRDefault="00CB7DB1" w:rsidP="00B3622E">
      <w:pPr>
        <w:pStyle w:val="Heading3"/>
      </w:pPr>
      <w:r w:rsidRPr="00894104">
        <w:rPr>
          <w:rStyle w:val="Strong"/>
          <w:rFonts w:ascii="Arial" w:hAnsi="Arial" w:cs="Arial"/>
        </w:rPr>
        <w:t>Assessment Overview</w:t>
      </w:r>
    </w:p>
    <w:p w14:paraId="489F95C8" w14:textId="77777777" w:rsidR="00CB7DB1" w:rsidRPr="00894104" w:rsidRDefault="00CB7DB1" w:rsidP="00CB7DB1">
      <w:pPr>
        <w:pStyle w:val="NormalWeb"/>
        <w:spacing w:after="0" w:line="360" w:lineRule="auto"/>
        <w:rPr>
          <w:rFonts w:ascii="Arial" w:hAnsi="Arial" w:cs="Arial"/>
        </w:rPr>
      </w:pPr>
      <w:r w:rsidRPr="00894104">
        <w:rPr>
          <w:rFonts w:ascii="Arial" w:hAnsi="Arial" w:cs="Arial"/>
        </w:rPr>
        <w:t xml:space="preserve">An evaluation has been undertaken against the </w:t>
      </w:r>
      <w:r w:rsidRPr="00894104">
        <w:rPr>
          <w:rStyle w:val="Strong"/>
          <w:rFonts w:ascii="Arial" w:eastAsiaTheme="majorEastAsia" w:hAnsi="Arial" w:cs="Arial"/>
          <w:b w:val="0"/>
          <w:bCs w:val="0"/>
        </w:rPr>
        <w:t>UK Medical Devices Regulations 2002 (as amended)</w:t>
      </w:r>
      <w:r w:rsidRPr="00894104">
        <w:rPr>
          <w:rFonts w:ascii="Arial" w:hAnsi="Arial" w:cs="Arial"/>
        </w:rPr>
        <w:t xml:space="preserve"> and </w:t>
      </w:r>
      <w:r w:rsidRPr="00894104">
        <w:rPr>
          <w:rStyle w:val="Strong"/>
          <w:rFonts w:ascii="Arial" w:eastAsiaTheme="majorEastAsia" w:hAnsi="Arial" w:cs="Arial"/>
          <w:b w:val="0"/>
          <w:bCs w:val="0"/>
        </w:rPr>
        <w:t>MHRA guidance</w:t>
      </w:r>
      <w:r w:rsidRPr="00894104">
        <w:rPr>
          <w:rStyle w:val="Strong"/>
          <w:rFonts w:ascii="Arial" w:eastAsiaTheme="majorEastAsia" w:hAnsi="Arial" w:cs="Arial"/>
        </w:rPr>
        <w:t xml:space="preserve"> </w:t>
      </w:r>
      <w:r w:rsidRPr="00894104">
        <w:rPr>
          <w:rStyle w:val="Strong"/>
          <w:rFonts w:ascii="Arial" w:eastAsiaTheme="majorEastAsia" w:hAnsi="Arial" w:cs="Arial"/>
          <w:b w:val="0"/>
          <w:bCs w:val="0"/>
        </w:rPr>
        <w:t>“Software as a Medical Device (SaMD): Qualification and Classification v3.2 (2024)”</w:t>
      </w:r>
      <w:r w:rsidRPr="00894104">
        <w:rPr>
          <w:rFonts w:ascii="Arial" w:hAnsi="Arial" w:cs="Arial"/>
        </w:rPr>
        <w:t xml:space="preserve"> to determine whether the </w:t>
      </w:r>
      <w:r w:rsidRPr="00894104">
        <w:rPr>
          <w:rStyle w:val="Emphasis"/>
          <w:rFonts w:eastAsiaTheme="majorEastAsia" w:cs="Arial"/>
        </w:rPr>
        <w:t>National Imaging Register (NIR)</w:t>
      </w:r>
      <w:r w:rsidRPr="00894104">
        <w:rPr>
          <w:rFonts w:ascii="Arial" w:hAnsi="Arial" w:cs="Arial"/>
        </w:rPr>
        <w:t xml:space="preserve"> qualifies as a medical device.</w:t>
      </w:r>
    </w:p>
    <w:p w14:paraId="2D41E32A" w14:textId="77777777" w:rsidR="00CB7DB1" w:rsidRPr="00894104" w:rsidRDefault="00CB7DB1" w:rsidP="00CB7DB1">
      <w:pPr>
        <w:pStyle w:val="NormalWeb"/>
        <w:spacing w:after="0" w:line="360" w:lineRule="auto"/>
        <w:rPr>
          <w:rFonts w:ascii="Arial" w:hAnsi="Arial" w:cs="Arial"/>
        </w:rPr>
      </w:pPr>
    </w:p>
    <w:p w14:paraId="53B47D00" w14:textId="77777777" w:rsidR="00CB7DB1" w:rsidRPr="00894104" w:rsidRDefault="00CB7DB1" w:rsidP="00B3622E">
      <w:pPr>
        <w:pStyle w:val="Heading3"/>
      </w:pPr>
      <w:r w:rsidRPr="00894104">
        <w:rPr>
          <w:rStyle w:val="Strong"/>
          <w:rFonts w:ascii="Arial" w:hAnsi="Arial" w:cs="Arial"/>
        </w:rPr>
        <w:t>Functional Purpose of NIR</w:t>
      </w:r>
    </w:p>
    <w:p w14:paraId="4E2C526C" w14:textId="77777777" w:rsidR="00CB7DB1" w:rsidRPr="00894104" w:rsidRDefault="00CB7DB1" w:rsidP="00CB7DB1">
      <w:pPr>
        <w:pStyle w:val="NormalWeb"/>
        <w:spacing w:after="0" w:line="360" w:lineRule="auto"/>
        <w:rPr>
          <w:rFonts w:ascii="Arial" w:hAnsi="Arial" w:cs="Arial"/>
        </w:rPr>
      </w:pPr>
      <w:r w:rsidRPr="00894104">
        <w:rPr>
          <w:rFonts w:ascii="Arial" w:hAnsi="Arial" w:cs="Arial"/>
        </w:rPr>
        <w:t xml:space="preserve">The NIR provides a </w:t>
      </w:r>
      <w:r w:rsidRPr="00894104">
        <w:rPr>
          <w:rStyle w:val="Strong"/>
          <w:rFonts w:ascii="Arial" w:eastAsiaTheme="majorEastAsia" w:hAnsi="Arial" w:cs="Arial"/>
          <w:b w:val="0"/>
          <w:bCs w:val="0"/>
        </w:rPr>
        <w:t>national registry and exchange layer</w:t>
      </w:r>
      <w:r w:rsidRPr="00894104">
        <w:rPr>
          <w:rFonts w:ascii="Arial" w:hAnsi="Arial" w:cs="Arial"/>
        </w:rPr>
        <w:t xml:space="preserve"> that enables the discovery and retrieval of diagnostic-imaging studies across NHS England.</w:t>
      </w:r>
      <w:r w:rsidRPr="00894104">
        <w:rPr>
          <w:rFonts w:ascii="Arial" w:hAnsi="Arial" w:cs="Arial"/>
        </w:rPr>
        <w:br/>
        <w:t>Core capabilities include:</w:t>
      </w:r>
    </w:p>
    <w:p w14:paraId="1562E8E1" w14:textId="77777777" w:rsidR="00CB7DB1" w:rsidRPr="00894104" w:rsidRDefault="00CB7DB1" w:rsidP="00CB7DB1">
      <w:pPr>
        <w:pStyle w:val="NormalWeb"/>
        <w:numPr>
          <w:ilvl w:val="0"/>
          <w:numId w:val="70"/>
        </w:numPr>
        <w:spacing w:after="0" w:line="360" w:lineRule="auto"/>
        <w:ind w:left="0"/>
        <w:textboxTightWrap w:val="none"/>
        <w:rPr>
          <w:rFonts w:ascii="Arial" w:hAnsi="Arial" w:cs="Arial"/>
        </w:rPr>
      </w:pPr>
      <w:r w:rsidRPr="00894104">
        <w:rPr>
          <w:rFonts w:ascii="Arial" w:hAnsi="Arial" w:cs="Arial"/>
        </w:rPr>
        <w:t>Secure ingestion and indexing of image-metadata from connected PACS/VNA systems.</w:t>
      </w:r>
    </w:p>
    <w:p w14:paraId="0E8CCBF2" w14:textId="77777777" w:rsidR="00CB7DB1" w:rsidRPr="00894104" w:rsidRDefault="00CB7DB1" w:rsidP="00CB7DB1">
      <w:pPr>
        <w:pStyle w:val="NormalWeb"/>
        <w:numPr>
          <w:ilvl w:val="0"/>
          <w:numId w:val="70"/>
        </w:numPr>
        <w:spacing w:after="0" w:line="360" w:lineRule="auto"/>
        <w:ind w:left="0"/>
        <w:textboxTightWrap w:val="none"/>
        <w:rPr>
          <w:rFonts w:ascii="Arial" w:hAnsi="Arial" w:cs="Arial"/>
        </w:rPr>
      </w:pPr>
      <w:r w:rsidRPr="00894104">
        <w:rPr>
          <w:rFonts w:ascii="Arial" w:hAnsi="Arial" w:cs="Arial"/>
        </w:rPr>
        <w:t xml:space="preserve">Federated search and retrieval via </w:t>
      </w:r>
      <w:r w:rsidRPr="00894104">
        <w:rPr>
          <w:rStyle w:val="Strong"/>
          <w:rFonts w:ascii="Arial" w:eastAsiaTheme="majorEastAsia" w:hAnsi="Arial" w:cs="Arial"/>
          <w:b w:val="0"/>
          <w:bCs w:val="0"/>
        </w:rPr>
        <w:t>IHE XDS-I.b</w:t>
      </w:r>
      <w:r w:rsidRPr="00894104">
        <w:rPr>
          <w:rFonts w:ascii="Arial" w:hAnsi="Arial" w:cs="Arial"/>
        </w:rPr>
        <w:t xml:space="preserve"> and </w:t>
      </w:r>
      <w:r w:rsidRPr="00894104">
        <w:rPr>
          <w:rStyle w:val="Strong"/>
          <w:rFonts w:ascii="Arial" w:eastAsiaTheme="majorEastAsia" w:hAnsi="Arial" w:cs="Arial"/>
          <w:b w:val="0"/>
          <w:bCs w:val="0"/>
        </w:rPr>
        <w:t>MHDS</w:t>
      </w:r>
      <w:r w:rsidRPr="00894104">
        <w:rPr>
          <w:rFonts w:ascii="Arial" w:hAnsi="Arial" w:cs="Arial"/>
        </w:rPr>
        <w:t xml:space="preserve"> interoperability standards.</w:t>
      </w:r>
    </w:p>
    <w:p w14:paraId="4A78ABF9" w14:textId="77777777" w:rsidR="00CB7DB1" w:rsidRPr="00894104" w:rsidRDefault="00CB7DB1" w:rsidP="00CB7DB1">
      <w:pPr>
        <w:pStyle w:val="NormalWeb"/>
        <w:numPr>
          <w:ilvl w:val="0"/>
          <w:numId w:val="70"/>
        </w:numPr>
        <w:spacing w:after="0" w:line="360" w:lineRule="auto"/>
        <w:ind w:left="0"/>
        <w:textboxTightWrap w:val="none"/>
        <w:rPr>
          <w:rFonts w:ascii="Arial" w:hAnsi="Arial" w:cs="Arial"/>
        </w:rPr>
      </w:pPr>
      <w:r w:rsidRPr="00894104">
        <w:rPr>
          <w:rFonts w:ascii="Arial" w:hAnsi="Arial" w:cs="Arial"/>
        </w:rPr>
        <w:t>Audit, access control, and conformance monitoring functions.</w:t>
      </w:r>
    </w:p>
    <w:p w14:paraId="126A5DFB" w14:textId="77777777" w:rsidR="00CB7DB1" w:rsidRPr="00894104" w:rsidRDefault="00CB7DB1" w:rsidP="00CB7DB1">
      <w:pPr>
        <w:pStyle w:val="NormalWeb"/>
        <w:spacing w:after="0" w:line="360" w:lineRule="auto"/>
        <w:rPr>
          <w:rFonts w:ascii="Arial" w:hAnsi="Arial" w:cs="Arial"/>
        </w:rPr>
      </w:pPr>
      <w:r w:rsidRPr="00894104">
        <w:rPr>
          <w:rFonts w:ascii="Arial" w:hAnsi="Arial" w:cs="Arial"/>
        </w:rPr>
        <w:t xml:space="preserve">The NIR does </w:t>
      </w:r>
      <w:r w:rsidRPr="00894104">
        <w:rPr>
          <w:rStyle w:val="Strong"/>
          <w:rFonts w:ascii="Arial" w:eastAsiaTheme="majorEastAsia" w:hAnsi="Arial" w:cs="Arial"/>
          <w:b w:val="0"/>
          <w:bCs w:val="0"/>
        </w:rPr>
        <w:t>not</w:t>
      </w:r>
      <w:r w:rsidRPr="00894104">
        <w:rPr>
          <w:rFonts w:ascii="Arial" w:hAnsi="Arial" w:cs="Arial"/>
          <w:b/>
          <w:bCs/>
        </w:rPr>
        <w:t xml:space="preserve"> </w:t>
      </w:r>
      <w:r w:rsidRPr="00894104">
        <w:rPr>
          <w:rFonts w:ascii="Arial" w:hAnsi="Arial" w:cs="Arial"/>
        </w:rPr>
        <w:t>perform image interpretation, diagnostic triage, AI-based analysis, or any transformation of image data that would inform clinical decision-making.</w:t>
      </w:r>
    </w:p>
    <w:p w14:paraId="15A41697" w14:textId="77777777" w:rsidR="00CB7DB1" w:rsidRPr="00894104" w:rsidRDefault="00CB7DB1" w:rsidP="00B3622E">
      <w:pPr>
        <w:pStyle w:val="Heading3"/>
      </w:pPr>
      <w:r w:rsidRPr="00894104">
        <w:rPr>
          <w:rStyle w:val="Strong"/>
          <w:rFonts w:ascii="Arial" w:hAnsi="Arial" w:cs="Arial"/>
        </w:rPr>
        <w:t>Assessment Against Device Criteria</w:t>
      </w:r>
    </w:p>
    <w:p w14:paraId="53035F5E" w14:textId="77777777" w:rsidR="00CB7DB1" w:rsidRPr="00894104" w:rsidRDefault="00CB7DB1" w:rsidP="00B3622E">
      <w:pPr>
        <w:pStyle w:val="Heading3"/>
        <w:rPr>
          <w:rStyle w:val="Strong"/>
          <w:rFonts w:ascii="Arial" w:hAnsi="Arial" w:cs="Arial"/>
          <w:b w:val="0"/>
          <w:bCs w:val="0"/>
        </w:rPr>
      </w:pPr>
    </w:p>
    <w:tbl>
      <w:tblPr>
        <w:tblpPr w:leftFromText="180" w:rightFromText="180" w:vertAnchor="text" w:horzAnchor="margin" w:tblpY="-23"/>
        <w:tblW w:w="9272" w:type="dxa"/>
        <w:tblLook w:val="04A0" w:firstRow="1" w:lastRow="0" w:firstColumn="1" w:lastColumn="0" w:noHBand="0" w:noVBand="1"/>
      </w:tblPr>
      <w:tblGrid>
        <w:gridCol w:w="2684"/>
        <w:gridCol w:w="4961"/>
        <w:gridCol w:w="1627"/>
      </w:tblGrid>
      <w:tr w:rsidR="00CB7DB1" w:rsidRPr="00894104" w14:paraId="2A9D1B4D" w14:textId="77777777" w:rsidTr="00FB6980">
        <w:trPr>
          <w:trHeight w:val="20"/>
        </w:trPr>
        <w:tc>
          <w:tcPr>
            <w:tcW w:w="2684" w:type="dxa"/>
            <w:tcBorders>
              <w:top w:val="single" w:sz="8" w:space="0" w:color="auto"/>
              <w:left w:val="single" w:sz="8" w:space="0" w:color="auto"/>
              <w:bottom w:val="single" w:sz="8" w:space="0" w:color="auto"/>
              <w:right w:val="single" w:sz="8" w:space="0" w:color="auto"/>
            </w:tcBorders>
            <w:hideMark/>
          </w:tcPr>
          <w:p w14:paraId="436E820C" w14:textId="77777777" w:rsidR="00CB7DB1" w:rsidRPr="004835FB" w:rsidRDefault="00CB7DB1" w:rsidP="00FB6980">
            <w:pPr>
              <w:spacing w:after="0" w:line="360" w:lineRule="auto"/>
              <w:textboxTightWrap w:val="none"/>
              <w:rPr>
                <w:rFonts w:cs="Arial"/>
                <w:b/>
                <w:bCs/>
                <w:lang w:eastAsia="en-GB"/>
              </w:rPr>
            </w:pPr>
            <w:r w:rsidRPr="004835FB">
              <w:rPr>
                <w:rFonts w:cs="Arial"/>
                <w:b/>
                <w:bCs/>
                <w:lang w:eastAsia="en-GB"/>
              </w:rPr>
              <w:t>Criterion</w:t>
            </w:r>
          </w:p>
        </w:tc>
        <w:tc>
          <w:tcPr>
            <w:tcW w:w="4961" w:type="dxa"/>
            <w:tcBorders>
              <w:top w:val="single" w:sz="8" w:space="0" w:color="auto"/>
              <w:left w:val="nil"/>
              <w:bottom w:val="single" w:sz="8" w:space="0" w:color="auto"/>
              <w:right w:val="single" w:sz="8" w:space="0" w:color="auto"/>
            </w:tcBorders>
            <w:hideMark/>
          </w:tcPr>
          <w:p w14:paraId="017FEB97" w14:textId="77777777" w:rsidR="00CB7DB1" w:rsidRPr="004835FB" w:rsidRDefault="00CB7DB1" w:rsidP="00FB6980">
            <w:pPr>
              <w:spacing w:after="0" w:line="360" w:lineRule="auto"/>
              <w:textboxTightWrap w:val="none"/>
              <w:rPr>
                <w:rFonts w:cs="Arial"/>
                <w:b/>
                <w:bCs/>
                <w:lang w:eastAsia="en-GB"/>
              </w:rPr>
            </w:pPr>
            <w:r w:rsidRPr="004835FB">
              <w:rPr>
                <w:rFonts w:cs="Arial"/>
                <w:b/>
                <w:bCs/>
                <w:lang w:eastAsia="en-GB"/>
              </w:rPr>
              <w:t>Assessment</w:t>
            </w:r>
          </w:p>
        </w:tc>
        <w:tc>
          <w:tcPr>
            <w:tcW w:w="1627" w:type="dxa"/>
            <w:tcBorders>
              <w:top w:val="single" w:sz="8" w:space="0" w:color="auto"/>
              <w:left w:val="nil"/>
              <w:bottom w:val="single" w:sz="8" w:space="0" w:color="auto"/>
              <w:right w:val="single" w:sz="8" w:space="0" w:color="auto"/>
            </w:tcBorders>
            <w:hideMark/>
          </w:tcPr>
          <w:p w14:paraId="237DC28B" w14:textId="77777777" w:rsidR="00CB7DB1" w:rsidRPr="004835FB" w:rsidRDefault="00CB7DB1" w:rsidP="00FB6980">
            <w:pPr>
              <w:spacing w:after="0" w:line="360" w:lineRule="auto"/>
              <w:textboxTightWrap w:val="none"/>
              <w:rPr>
                <w:rFonts w:cs="Arial"/>
                <w:b/>
                <w:bCs/>
                <w:lang w:eastAsia="en-GB"/>
              </w:rPr>
            </w:pPr>
            <w:r w:rsidRPr="004835FB">
              <w:rPr>
                <w:rFonts w:cs="Arial"/>
                <w:b/>
                <w:bCs/>
                <w:lang w:eastAsia="en-GB"/>
              </w:rPr>
              <w:t>Outcome</w:t>
            </w:r>
          </w:p>
        </w:tc>
      </w:tr>
      <w:tr w:rsidR="00CB7DB1" w:rsidRPr="00894104" w14:paraId="248DFBC4" w14:textId="77777777" w:rsidTr="00FB6980">
        <w:trPr>
          <w:trHeight w:val="20"/>
        </w:trPr>
        <w:tc>
          <w:tcPr>
            <w:tcW w:w="2684" w:type="dxa"/>
            <w:tcBorders>
              <w:top w:val="nil"/>
              <w:left w:val="single" w:sz="8" w:space="0" w:color="auto"/>
              <w:bottom w:val="single" w:sz="8" w:space="0" w:color="auto"/>
              <w:right w:val="single" w:sz="8" w:space="0" w:color="auto"/>
            </w:tcBorders>
            <w:hideMark/>
          </w:tcPr>
          <w:p w14:paraId="682D1EEB"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Intended medical purpose (diagnosis, prevention, monitoring, treatment, or alleviation of disease)</w:t>
            </w:r>
          </w:p>
        </w:tc>
        <w:tc>
          <w:tcPr>
            <w:tcW w:w="4961" w:type="dxa"/>
            <w:tcBorders>
              <w:top w:val="nil"/>
              <w:left w:val="nil"/>
              <w:bottom w:val="single" w:sz="8" w:space="0" w:color="auto"/>
              <w:right w:val="single" w:sz="8" w:space="0" w:color="auto"/>
            </w:tcBorders>
            <w:hideMark/>
          </w:tcPr>
          <w:p w14:paraId="2607F993"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The NIR’s purpose is limited to facilitating data access and exchange. It does not itself diagnose, prevent, or monitor disease.</w:t>
            </w:r>
          </w:p>
        </w:tc>
        <w:tc>
          <w:tcPr>
            <w:tcW w:w="1627" w:type="dxa"/>
            <w:tcBorders>
              <w:top w:val="nil"/>
              <w:left w:val="nil"/>
              <w:bottom w:val="single" w:sz="8" w:space="0" w:color="auto"/>
              <w:right w:val="single" w:sz="8" w:space="0" w:color="auto"/>
            </w:tcBorders>
            <w:hideMark/>
          </w:tcPr>
          <w:p w14:paraId="1AFE3041" w14:textId="77777777" w:rsidR="00CB7DB1" w:rsidRPr="004835FB" w:rsidRDefault="00CB7DB1" w:rsidP="00FB6980">
            <w:pPr>
              <w:spacing w:after="0" w:line="360" w:lineRule="auto"/>
              <w:textboxTightWrap w:val="none"/>
              <w:rPr>
                <w:rFonts w:cs="Arial"/>
                <w:lang w:eastAsia="en-GB"/>
              </w:rPr>
            </w:pPr>
            <w:r w:rsidRPr="004835FB">
              <w:rPr>
                <w:rFonts w:ascii="Segoe UI Emoji" w:hAnsi="Segoe UI Emoji" w:cs="Segoe UI Emoji"/>
                <w:lang w:eastAsia="en-GB"/>
              </w:rPr>
              <w:t>❌</w:t>
            </w:r>
            <w:r w:rsidRPr="004835FB">
              <w:rPr>
                <w:rFonts w:cs="Arial"/>
                <w:lang w:eastAsia="en-GB"/>
              </w:rPr>
              <w:t xml:space="preserve"> Not met</w:t>
            </w:r>
          </w:p>
        </w:tc>
      </w:tr>
      <w:tr w:rsidR="00CB7DB1" w:rsidRPr="00894104" w14:paraId="1BC7B2B6" w14:textId="77777777" w:rsidTr="00FB6980">
        <w:trPr>
          <w:trHeight w:val="20"/>
        </w:trPr>
        <w:tc>
          <w:tcPr>
            <w:tcW w:w="2684" w:type="dxa"/>
            <w:tcBorders>
              <w:top w:val="nil"/>
              <w:left w:val="single" w:sz="8" w:space="0" w:color="auto"/>
              <w:bottom w:val="single" w:sz="8" w:space="0" w:color="auto"/>
              <w:right w:val="single" w:sz="8" w:space="0" w:color="auto"/>
            </w:tcBorders>
            <w:hideMark/>
          </w:tcPr>
          <w:p w14:paraId="760052FC"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Performs calculation, decision, or triage based on clinical data</w:t>
            </w:r>
          </w:p>
        </w:tc>
        <w:tc>
          <w:tcPr>
            <w:tcW w:w="4961" w:type="dxa"/>
            <w:tcBorders>
              <w:top w:val="nil"/>
              <w:left w:val="nil"/>
              <w:bottom w:val="single" w:sz="8" w:space="0" w:color="auto"/>
              <w:right w:val="single" w:sz="8" w:space="0" w:color="auto"/>
            </w:tcBorders>
            <w:hideMark/>
          </w:tcPr>
          <w:p w14:paraId="057C8403"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The NIR performs no clinical calculations or algorithmic evaluation.</w:t>
            </w:r>
          </w:p>
        </w:tc>
        <w:tc>
          <w:tcPr>
            <w:tcW w:w="1627" w:type="dxa"/>
            <w:tcBorders>
              <w:top w:val="nil"/>
              <w:left w:val="nil"/>
              <w:bottom w:val="single" w:sz="8" w:space="0" w:color="auto"/>
              <w:right w:val="single" w:sz="8" w:space="0" w:color="auto"/>
            </w:tcBorders>
            <w:hideMark/>
          </w:tcPr>
          <w:p w14:paraId="14E12150" w14:textId="77777777" w:rsidR="00CB7DB1" w:rsidRPr="004835FB" w:rsidRDefault="00CB7DB1" w:rsidP="00FB6980">
            <w:pPr>
              <w:spacing w:after="0" w:line="360" w:lineRule="auto"/>
              <w:textboxTightWrap w:val="none"/>
              <w:rPr>
                <w:rFonts w:cs="Arial"/>
                <w:lang w:eastAsia="en-GB"/>
              </w:rPr>
            </w:pPr>
            <w:r w:rsidRPr="004835FB">
              <w:rPr>
                <w:rFonts w:ascii="Segoe UI Emoji" w:hAnsi="Segoe UI Emoji" w:cs="Segoe UI Emoji"/>
                <w:lang w:eastAsia="en-GB"/>
              </w:rPr>
              <w:t>❌</w:t>
            </w:r>
            <w:r w:rsidRPr="004835FB">
              <w:rPr>
                <w:rFonts w:cs="Arial"/>
                <w:lang w:eastAsia="en-GB"/>
              </w:rPr>
              <w:t xml:space="preserve"> Not met</w:t>
            </w:r>
          </w:p>
        </w:tc>
      </w:tr>
      <w:tr w:rsidR="00CB7DB1" w:rsidRPr="00894104" w14:paraId="54C58EE6" w14:textId="77777777" w:rsidTr="00FB6980">
        <w:trPr>
          <w:trHeight w:val="20"/>
        </w:trPr>
        <w:tc>
          <w:tcPr>
            <w:tcW w:w="2684" w:type="dxa"/>
            <w:tcBorders>
              <w:top w:val="nil"/>
              <w:left w:val="single" w:sz="8" w:space="0" w:color="auto"/>
              <w:bottom w:val="single" w:sz="8" w:space="0" w:color="auto"/>
              <w:right w:val="single" w:sz="8" w:space="0" w:color="auto"/>
            </w:tcBorders>
            <w:hideMark/>
          </w:tcPr>
          <w:p w14:paraId="571FAFE1"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Provides information used directly for diagnosis or treatment decisions</w:t>
            </w:r>
          </w:p>
        </w:tc>
        <w:tc>
          <w:tcPr>
            <w:tcW w:w="4961" w:type="dxa"/>
            <w:tcBorders>
              <w:top w:val="nil"/>
              <w:left w:val="nil"/>
              <w:bottom w:val="single" w:sz="8" w:space="0" w:color="auto"/>
              <w:right w:val="single" w:sz="8" w:space="0" w:color="auto"/>
            </w:tcBorders>
            <w:hideMark/>
          </w:tcPr>
          <w:p w14:paraId="75AB3AAE"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The NIR supplies metadata and study links only; diagnostic interpretation occurs within local PACS or clinical viewers.</w:t>
            </w:r>
          </w:p>
        </w:tc>
        <w:tc>
          <w:tcPr>
            <w:tcW w:w="1627" w:type="dxa"/>
            <w:tcBorders>
              <w:top w:val="nil"/>
              <w:left w:val="nil"/>
              <w:bottom w:val="single" w:sz="8" w:space="0" w:color="auto"/>
              <w:right w:val="single" w:sz="8" w:space="0" w:color="auto"/>
            </w:tcBorders>
            <w:hideMark/>
          </w:tcPr>
          <w:p w14:paraId="44F70D49" w14:textId="77777777" w:rsidR="00CB7DB1" w:rsidRPr="004835FB" w:rsidRDefault="00CB7DB1" w:rsidP="00FB6980">
            <w:pPr>
              <w:spacing w:after="0" w:line="360" w:lineRule="auto"/>
              <w:textboxTightWrap w:val="none"/>
              <w:rPr>
                <w:rFonts w:cs="Arial"/>
                <w:lang w:eastAsia="en-GB"/>
              </w:rPr>
            </w:pPr>
            <w:r w:rsidRPr="004835FB">
              <w:rPr>
                <w:rFonts w:ascii="Segoe UI Emoji" w:hAnsi="Segoe UI Emoji" w:cs="Segoe UI Emoji"/>
                <w:lang w:eastAsia="en-GB"/>
              </w:rPr>
              <w:t>❌</w:t>
            </w:r>
            <w:r w:rsidRPr="004835FB">
              <w:rPr>
                <w:rFonts w:cs="Arial"/>
                <w:lang w:eastAsia="en-GB"/>
              </w:rPr>
              <w:t xml:space="preserve"> Not met</w:t>
            </w:r>
          </w:p>
        </w:tc>
      </w:tr>
      <w:tr w:rsidR="00CB7DB1" w:rsidRPr="00894104" w14:paraId="03B01FA3" w14:textId="77777777" w:rsidTr="00FB6980">
        <w:trPr>
          <w:trHeight w:val="20"/>
        </w:trPr>
        <w:tc>
          <w:tcPr>
            <w:tcW w:w="2684" w:type="dxa"/>
            <w:tcBorders>
              <w:top w:val="nil"/>
              <w:left w:val="single" w:sz="8" w:space="0" w:color="auto"/>
              <w:bottom w:val="single" w:sz="8" w:space="0" w:color="auto"/>
              <w:right w:val="single" w:sz="8" w:space="0" w:color="auto"/>
            </w:tcBorders>
            <w:hideMark/>
          </w:tcPr>
          <w:p w14:paraId="3A07DE2E"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Outputs actionable clinical recommendations</w:t>
            </w:r>
          </w:p>
        </w:tc>
        <w:tc>
          <w:tcPr>
            <w:tcW w:w="4961" w:type="dxa"/>
            <w:tcBorders>
              <w:top w:val="nil"/>
              <w:left w:val="nil"/>
              <w:bottom w:val="single" w:sz="8" w:space="0" w:color="auto"/>
              <w:right w:val="single" w:sz="8" w:space="0" w:color="auto"/>
            </w:tcBorders>
            <w:hideMark/>
          </w:tcPr>
          <w:p w14:paraId="5AE34F45" w14:textId="77777777" w:rsidR="00CB7DB1" w:rsidRPr="004835FB" w:rsidRDefault="00CB7DB1" w:rsidP="00FB6980">
            <w:pPr>
              <w:spacing w:after="0" w:line="360" w:lineRule="auto"/>
              <w:textboxTightWrap w:val="none"/>
              <w:rPr>
                <w:rFonts w:cs="Arial"/>
                <w:lang w:eastAsia="en-GB"/>
              </w:rPr>
            </w:pPr>
            <w:r w:rsidRPr="004835FB">
              <w:rPr>
                <w:rFonts w:cs="Arial"/>
                <w:lang w:eastAsia="en-GB"/>
              </w:rPr>
              <w:t>No decision support, prioritisation, or recommendation functionality is present.</w:t>
            </w:r>
          </w:p>
        </w:tc>
        <w:tc>
          <w:tcPr>
            <w:tcW w:w="1627" w:type="dxa"/>
            <w:tcBorders>
              <w:top w:val="nil"/>
              <w:left w:val="nil"/>
              <w:bottom w:val="single" w:sz="8" w:space="0" w:color="auto"/>
              <w:right w:val="single" w:sz="8" w:space="0" w:color="auto"/>
            </w:tcBorders>
            <w:hideMark/>
          </w:tcPr>
          <w:p w14:paraId="5D64EB9F" w14:textId="77777777" w:rsidR="00CB7DB1" w:rsidRPr="004835FB" w:rsidRDefault="00CB7DB1" w:rsidP="00FB6980">
            <w:pPr>
              <w:spacing w:after="0" w:line="360" w:lineRule="auto"/>
              <w:textboxTightWrap w:val="none"/>
              <w:rPr>
                <w:rFonts w:cs="Arial"/>
                <w:lang w:eastAsia="en-GB"/>
              </w:rPr>
            </w:pPr>
            <w:r w:rsidRPr="004835FB">
              <w:rPr>
                <w:rFonts w:ascii="Segoe UI Emoji" w:hAnsi="Segoe UI Emoji" w:cs="Segoe UI Emoji"/>
                <w:lang w:eastAsia="en-GB"/>
              </w:rPr>
              <w:t>❌</w:t>
            </w:r>
            <w:r w:rsidRPr="004835FB">
              <w:rPr>
                <w:rFonts w:cs="Arial"/>
                <w:lang w:eastAsia="en-GB"/>
              </w:rPr>
              <w:t xml:space="preserve"> Not met</w:t>
            </w:r>
          </w:p>
        </w:tc>
      </w:tr>
    </w:tbl>
    <w:p w14:paraId="16BA60C5" w14:textId="77777777" w:rsidR="00CB7DB1" w:rsidRDefault="00CB7DB1" w:rsidP="00B3622E">
      <w:pPr>
        <w:pStyle w:val="Heading3"/>
        <w:rPr>
          <w:rStyle w:val="Strong"/>
          <w:rFonts w:ascii="Arial" w:hAnsi="Arial" w:cs="Arial"/>
        </w:rPr>
      </w:pPr>
    </w:p>
    <w:p w14:paraId="071F3405" w14:textId="77777777" w:rsidR="00CB7DB1" w:rsidRPr="00894104" w:rsidRDefault="00CB7DB1" w:rsidP="00B3622E">
      <w:pPr>
        <w:pStyle w:val="Heading3"/>
      </w:pPr>
      <w:r w:rsidRPr="00894104">
        <w:rPr>
          <w:rStyle w:val="Strong"/>
          <w:rFonts w:ascii="Arial" w:hAnsi="Arial" w:cs="Arial"/>
        </w:rPr>
        <w:t>Conclusion</w:t>
      </w:r>
    </w:p>
    <w:p w14:paraId="531B5E1C" w14:textId="77777777" w:rsidR="00CB7DB1" w:rsidRPr="00894104" w:rsidRDefault="00CB7DB1" w:rsidP="00CB7DB1">
      <w:pPr>
        <w:pStyle w:val="NormalWeb"/>
        <w:spacing w:after="0" w:line="360" w:lineRule="auto"/>
        <w:rPr>
          <w:rFonts w:ascii="Arial" w:hAnsi="Arial" w:cs="Arial"/>
          <w:b/>
          <w:bCs/>
        </w:rPr>
      </w:pPr>
      <w:r w:rsidRPr="00894104">
        <w:rPr>
          <w:rFonts w:ascii="Arial" w:hAnsi="Arial" w:cs="Arial"/>
        </w:rPr>
        <w:t xml:space="preserve">Based on this assessment, the </w:t>
      </w:r>
      <w:r w:rsidRPr="00894104">
        <w:rPr>
          <w:rStyle w:val="Emphasis"/>
          <w:rFonts w:eastAsiaTheme="majorEastAsia" w:cs="Arial"/>
        </w:rPr>
        <w:t>National Imaging Register (NIR)</w:t>
      </w:r>
      <w:r w:rsidRPr="00894104">
        <w:rPr>
          <w:rFonts w:ascii="Arial" w:hAnsi="Arial" w:cs="Arial"/>
        </w:rPr>
        <w:t xml:space="preserve"> does</w:t>
      </w:r>
      <w:r w:rsidRPr="00894104">
        <w:rPr>
          <w:rFonts w:ascii="Arial" w:hAnsi="Arial" w:cs="Arial"/>
          <w:b/>
          <w:bCs/>
        </w:rPr>
        <w:t xml:space="preserve"> </w:t>
      </w:r>
      <w:r w:rsidRPr="00894104">
        <w:rPr>
          <w:rStyle w:val="Strong"/>
          <w:rFonts w:ascii="Arial" w:eastAsiaTheme="majorEastAsia" w:hAnsi="Arial" w:cs="Arial"/>
          <w:b w:val="0"/>
          <w:bCs w:val="0"/>
        </w:rPr>
        <w:t>not</w:t>
      </w:r>
      <w:r w:rsidRPr="00894104">
        <w:rPr>
          <w:rFonts w:ascii="Arial" w:hAnsi="Arial" w:cs="Arial"/>
        </w:rPr>
        <w:t xml:space="preserve"> meet the definition of a </w:t>
      </w:r>
      <w:r w:rsidRPr="00894104">
        <w:rPr>
          <w:rStyle w:val="Strong"/>
          <w:rFonts w:ascii="Arial" w:eastAsiaTheme="majorEastAsia" w:hAnsi="Arial" w:cs="Arial"/>
          <w:b w:val="0"/>
          <w:bCs w:val="0"/>
        </w:rPr>
        <w:t>Medical Device</w:t>
      </w:r>
      <w:r w:rsidRPr="00894104">
        <w:rPr>
          <w:rFonts w:ascii="Arial" w:hAnsi="Arial" w:cs="Arial"/>
        </w:rPr>
        <w:t xml:space="preserve"> under the </w:t>
      </w:r>
      <w:r w:rsidRPr="00894104">
        <w:rPr>
          <w:rStyle w:val="Strong"/>
          <w:rFonts w:ascii="Arial" w:eastAsiaTheme="majorEastAsia" w:hAnsi="Arial" w:cs="Arial"/>
          <w:b w:val="0"/>
          <w:bCs w:val="0"/>
        </w:rPr>
        <w:t>UK MDR 2002 (as amended)</w:t>
      </w:r>
      <w:r w:rsidRPr="00894104">
        <w:rPr>
          <w:rFonts w:ascii="Arial" w:hAnsi="Arial" w:cs="Arial"/>
          <w:b/>
          <w:bCs/>
        </w:rPr>
        <w:t>.</w:t>
      </w:r>
      <w:r w:rsidRPr="00894104">
        <w:rPr>
          <w:rFonts w:ascii="Arial" w:hAnsi="Arial" w:cs="Arial"/>
        </w:rPr>
        <w:br/>
        <w:t xml:space="preserve">Accordingly, the NIR is </w:t>
      </w:r>
      <w:r w:rsidRPr="00894104">
        <w:rPr>
          <w:rStyle w:val="Strong"/>
          <w:rFonts w:ascii="Arial" w:eastAsiaTheme="majorEastAsia" w:hAnsi="Arial" w:cs="Arial"/>
          <w:b w:val="0"/>
          <w:bCs w:val="0"/>
        </w:rPr>
        <w:t>out of scope of MHRA device classification and UKCA marking requirements</w:t>
      </w:r>
      <w:r w:rsidRPr="00894104">
        <w:rPr>
          <w:rFonts w:ascii="Arial" w:hAnsi="Arial" w:cs="Arial"/>
          <w:b/>
          <w:bCs/>
        </w:rPr>
        <w:t>.</w:t>
      </w:r>
      <w:r w:rsidRPr="00894104">
        <w:rPr>
          <w:rFonts w:ascii="Arial" w:hAnsi="Arial" w:cs="Arial"/>
        </w:rPr>
        <w:t xml:space="preserve"> The system remains within the scope of </w:t>
      </w:r>
      <w:r w:rsidRPr="00894104">
        <w:rPr>
          <w:rStyle w:val="Strong"/>
          <w:rFonts w:ascii="Arial" w:eastAsiaTheme="majorEastAsia" w:hAnsi="Arial" w:cs="Arial"/>
          <w:b w:val="0"/>
          <w:bCs w:val="0"/>
        </w:rPr>
        <w:t>DCB 0129 (Manufacturer)</w:t>
      </w:r>
      <w:r w:rsidRPr="00894104">
        <w:rPr>
          <w:rFonts w:ascii="Arial" w:hAnsi="Arial" w:cs="Arial"/>
        </w:rPr>
        <w:t xml:space="preserve"> and </w:t>
      </w:r>
      <w:r w:rsidRPr="00894104">
        <w:rPr>
          <w:rStyle w:val="Strong"/>
          <w:rFonts w:ascii="Arial" w:eastAsiaTheme="majorEastAsia" w:hAnsi="Arial" w:cs="Arial"/>
          <w:b w:val="0"/>
          <w:bCs w:val="0"/>
        </w:rPr>
        <w:t>DCB 0160 (Deployment)</w:t>
      </w:r>
      <w:r w:rsidRPr="00894104">
        <w:rPr>
          <w:rFonts w:ascii="Arial" w:hAnsi="Arial" w:cs="Arial"/>
        </w:rPr>
        <w:t xml:space="preserve"> for the management of </w:t>
      </w:r>
      <w:r w:rsidRPr="00894104">
        <w:rPr>
          <w:rStyle w:val="Strong"/>
          <w:rFonts w:ascii="Arial" w:eastAsiaTheme="majorEastAsia" w:hAnsi="Arial" w:cs="Arial"/>
          <w:b w:val="0"/>
          <w:bCs w:val="0"/>
        </w:rPr>
        <w:t>clinical risk</w:t>
      </w:r>
      <w:r w:rsidRPr="00894104">
        <w:rPr>
          <w:rFonts w:ascii="Arial" w:hAnsi="Arial" w:cs="Arial"/>
        </w:rPr>
        <w:t xml:space="preserve"> relating to the </w:t>
      </w:r>
      <w:r w:rsidRPr="00894104">
        <w:rPr>
          <w:rStyle w:val="Strong"/>
          <w:rFonts w:ascii="Arial" w:eastAsiaTheme="majorEastAsia" w:hAnsi="Arial" w:cs="Arial"/>
          <w:b w:val="0"/>
          <w:bCs w:val="0"/>
        </w:rPr>
        <w:t>availability, accuracy, and integrity of patient imaging data</w:t>
      </w:r>
      <w:r w:rsidRPr="00894104">
        <w:rPr>
          <w:rFonts w:ascii="Arial" w:hAnsi="Arial" w:cs="Arial"/>
        </w:rPr>
        <w:t xml:space="preserve"> used in diagnosis and treatment.</w:t>
      </w:r>
      <w:r>
        <w:rPr>
          <w:rFonts w:ascii="Arial" w:hAnsi="Arial" w:cs="Arial"/>
          <w:b/>
          <w:bCs/>
        </w:rPr>
        <w:t xml:space="preserve"> </w:t>
      </w:r>
      <w:r w:rsidRPr="00894104">
        <w:rPr>
          <w:rFonts w:ascii="Arial" w:hAnsi="Arial" w:cs="Arial"/>
        </w:rPr>
        <w:t xml:space="preserve">Any future enhancement introducing </w:t>
      </w:r>
      <w:r w:rsidRPr="00894104">
        <w:rPr>
          <w:rStyle w:val="Strong"/>
          <w:rFonts w:ascii="Arial" w:eastAsiaTheme="majorEastAsia" w:hAnsi="Arial" w:cs="Arial"/>
          <w:b w:val="0"/>
          <w:bCs w:val="0"/>
        </w:rPr>
        <w:t>AI-based image interpretation, automated quality scoring, or diagnostic triage</w:t>
      </w:r>
      <w:r w:rsidRPr="00894104">
        <w:rPr>
          <w:rFonts w:ascii="Arial" w:hAnsi="Arial" w:cs="Arial"/>
        </w:rPr>
        <w:t xml:space="preserve"> functionality will trigger a formal </w:t>
      </w:r>
      <w:r w:rsidRPr="00894104">
        <w:rPr>
          <w:rStyle w:val="Strong"/>
          <w:rFonts w:ascii="Arial" w:eastAsiaTheme="majorEastAsia" w:hAnsi="Arial" w:cs="Arial"/>
          <w:b w:val="0"/>
          <w:bCs w:val="0"/>
        </w:rPr>
        <w:t>re-evaluation under the UK MDR 2002</w:t>
      </w:r>
      <w:r w:rsidRPr="00894104">
        <w:rPr>
          <w:rFonts w:ascii="Arial" w:hAnsi="Arial" w:cs="Arial"/>
          <w:b/>
          <w:bCs/>
        </w:rPr>
        <w:t xml:space="preserve"> </w:t>
      </w:r>
      <w:r w:rsidRPr="00894104">
        <w:rPr>
          <w:rFonts w:ascii="Arial" w:hAnsi="Arial" w:cs="Arial"/>
        </w:rPr>
        <w:t xml:space="preserve">and </w:t>
      </w:r>
      <w:r w:rsidRPr="00894104">
        <w:rPr>
          <w:rStyle w:val="Strong"/>
          <w:rFonts w:ascii="Arial" w:eastAsiaTheme="majorEastAsia" w:hAnsi="Arial" w:cs="Arial"/>
          <w:b w:val="0"/>
          <w:bCs w:val="0"/>
        </w:rPr>
        <w:t>MHRA SaMD classification</w:t>
      </w:r>
      <w:r w:rsidRPr="00894104">
        <w:rPr>
          <w:rFonts w:ascii="Arial" w:hAnsi="Arial" w:cs="Arial"/>
        </w:rPr>
        <w:t xml:space="preserve"> to confirm continued regulatory compliance.</w:t>
      </w:r>
    </w:p>
    <w:p w14:paraId="5BF63E26" w14:textId="77777777" w:rsidR="00CB7DB1" w:rsidRPr="00894104" w:rsidRDefault="00CB7DB1" w:rsidP="00B3622E">
      <w:pPr>
        <w:pStyle w:val="Heading3"/>
        <w:rPr>
          <w:rStyle w:val="Strong"/>
          <w:rFonts w:ascii="Arial" w:hAnsi="Arial" w:cs="Arial"/>
          <w:b w:val="0"/>
          <w:bCs w:val="0"/>
        </w:rPr>
      </w:pPr>
    </w:p>
    <w:p w14:paraId="10BB19D0" w14:textId="77777777" w:rsidR="00CB7DB1" w:rsidRPr="00894104" w:rsidRDefault="00CB7DB1" w:rsidP="00B3622E">
      <w:pPr>
        <w:pStyle w:val="Heading3"/>
      </w:pPr>
      <w:r w:rsidRPr="00894104">
        <w:rPr>
          <w:rStyle w:val="Strong"/>
          <w:rFonts w:ascii="Arial" w:hAnsi="Arial" w:cs="Arial"/>
        </w:rPr>
        <w:t>References</w:t>
      </w:r>
    </w:p>
    <w:p w14:paraId="74DA0A84" w14:textId="77777777" w:rsidR="00CB7DB1" w:rsidRPr="00894104" w:rsidRDefault="00CB7DB1" w:rsidP="00CB7DB1">
      <w:pPr>
        <w:pStyle w:val="NormalWeb"/>
        <w:numPr>
          <w:ilvl w:val="0"/>
          <w:numId w:val="71"/>
        </w:numPr>
        <w:spacing w:after="0" w:line="360" w:lineRule="auto"/>
        <w:ind w:left="0"/>
        <w:textboxTightWrap w:val="none"/>
        <w:rPr>
          <w:rFonts w:ascii="Arial" w:hAnsi="Arial" w:cs="Arial"/>
        </w:rPr>
      </w:pPr>
      <w:r w:rsidRPr="00894104">
        <w:rPr>
          <w:rFonts w:ascii="Arial" w:hAnsi="Arial" w:cs="Arial"/>
        </w:rPr>
        <w:t xml:space="preserve">NHS England NIR Product Specification </w:t>
      </w:r>
    </w:p>
    <w:p w14:paraId="6BD24E81" w14:textId="77777777" w:rsidR="00CB7DB1" w:rsidRPr="00894104" w:rsidRDefault="00CB7DB1" w:rsidP="00CB7DB1">
      <w:pPr>
        <w:pStyle w:val="NormalWeb"/>
        <w:numPr>
          <w:ilvl w:val="0"/>
          <w:numId w:val="71"/>
        </w:numPr>
        <w:spacing w:after="0" w:line="360" w:lineRule="auto"/>
        <w:ind w:left="0"/>
        <w:textboxTightWrap w:val="none"/>
        <w:rPr>
          <w:rFonts w:ascii="Arial" w:hAnsi="Arial" w:cs="Arial"/>
        </w:rPr>
      </w:pPr>
      <w:r w:rsidRPr="00894104">
        <w:rPr>
          <w:rFonts w:ascii="Arial" w:hAnsi="Arial" w:cs="Arial"/>
        </w:rPr>
        <w:t>MHRA Guidance “Software as a Medical Device (SaMD): Qualification and Classification”, v3.2 (2024)</w:t>
      </w:r>
    </w:p>
    <w:p w14:paraId="7E1AA212" w14:textId="77777777" w:rsidR="00CB7DB1" w:rsidRDefault="00CB7DB1" w:rsidP="00CB7DB1"/>
    <w:p w14:paraId="6EC8BD0C" w14:textId="77777777" w:rsidR="00CB7DB1" w:rsidRDefault="00CB7DB1" w:rsidP="00A51112">
      <w:pPr>
        <w:jc w:val="center"/>
      </w:pPr>
    </w:p>
    <w:p w14:paraId="540F85B6" w14:textId="77777777" w:rsidR="00CB7DB1" w:rsidRDefault="00CB7DB1" w:rsidP="00A51112">
      <w:pPr>
        <w:jc w:val="center"/>
      </w:pPr>
    </w:p>
    <w:p w14:paraId="3EBE8B53" w14:textId="26097663" w:rsidR="00797D23" w:rsidRPr="00BD7FB4" w:rsidRDefault="00A51112" w:rsidP="00A51112">
      <w:pPr>
        <w:jc w:val="center"/>
      </w:pPr>
      <w:r>
        <w:t>END OF SECTION</w:t>
      </w:r>
    </w:p>
    <w:sectPr w:rsidR="00797D23" w:rsidRPr="00BD7FB4" w:rsidSect="000169CD">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221C1" w14:textId="77777777" w:rsidR="00D812B9" w:rsidRPr="00BD7FB4" w:rsidRDefault="00D812B9" w:rsidP="000C24AF">
      <w:pPr>
        <w:spacing w:after="0"/>
      </w:pPr>
      <w:r w:rsidRPr="00BD7FB4">
        <w:separator/>
      </w:r>
    </w:p>
  </w:endnote>
  <w:endnote w:type="continuationSeparator" w:id="0">
    <w:p w14:paraId="63657FF3" w14:textId="77777777" w:rsidR="00D812B9" w:rsidRPr="00BD7FB4" w:rsidRDefault="00D812B9" w:rsidP="000C24AF">
      <w:pPr>
        <w:spacing w:after="0"/>
      </w:pPr>
      <w:r w:rsidRPr="00BD7FB4">
        <w:continuationSeparator/>
      </w:r>
    </w:p>
  </w:endnote>
  <w:endnote w:type="continuationNotice" w:id="1">
    <w:p w14:paraId="077CD053" w14:textId="77777777" w:rsidR="00D812B9" w:rsidRPr="00BD7FB4" w:rsidRDefault="00D812B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20B0604020202020204"/>
    <w:charset w:val="00"/>
    <w:family w:val="swiss"/>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Quattrocento Sans">
    <w:panose1 w:val="020B0502050000020003"/>
    <w:charset w:val="00"/>
    <w:family w:val="swiss"/>
    <w:pitch w:val="variable"/>
    <w:sig w:usb0="800000BF" w:usb1="4000005B"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78AC3" w14:textId="3D389AD3" w:rsidR="0075616C" w:rsidRPr="00BD7FB4" w:rsidRDefault="00A600D2">
    <w:pPr>
      <w:pStyle w:val="Footer"/>
      <w:jc w:val="right"/>
    </w:pPr>
    <w:r>
      <w:t xml:space="preserve">NHS </w:t>
    </w:r>
    <w:r w:rsidR="00195167">
      <w:t>NIR</w:t>
    </w:r>
    <w:r w:rsidR="0075616C" w:rsidRPr="00BD7FB4">
      <w:tab/>
    </w:r>
    <w:sdt>
      <w:sdtPr>
        <w:id w:val="1162732321"/>
        <w:docPartObj>
          <w:docPartGallery w:val="Page Numbers (Bottom of Page)"/>
          <w:docPartUnique/>
        </w:docPartObj>
      </w:sdtPr>
      <w:sdtContent>
        <w:sdt>
          <w:sdtPr>
            <w:id w:val="-119599872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684F5DAF" w14:textId="268BCD9C" w:rsidR="0075616C" w:rsidRPr="00BD7FB4" w:rsidRDefault="0075616C" w:rsidP="000041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8A185" w14:textId="38B212C1" w:rsidR="0075616C" w:rsidRPr="00BD7FB4" w:rsidRDefault="008C1248" w:rsidP="005B5BEF">
    <w:pPr>
      <w:pStyle w:val="Footer"/>
      <w:jc w:val="center"/>
    </w:pPr>
    <w:r>
      <w:t>N</w:t>
    </w:r>
    <w:r w:rsidR="003D5A41">
      <w:t>HS NIR</w:t>
    </w:r>
    <w:r w:rsidR="0075616C" w:rsidRPr="00BD7FB4">
      <w:tab/>
    </w:r>
    <w:sdt>
      <w:sdtPr>
        <w:id w:val="2026822966"/>
        <w:docPartObj>
          <w:docPartGallery w:val="Page Numbers (Bottom of Page)"/>
          <w:docPartUnique/>
        </w:docPartObj>
      </w:sdtPr>
      <w:sdtContent>
        <w:sdt>
          <w:sdtPr>
            <w:id w:val="-176961690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042E109D" w14:textId="6FB60347" w:rsidR="0075616C" w:rsidRPr="00BD7FB4" w:rsidRDefault="0075616C" w:rsidP="00BE64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5ADA7" w14:textId="77777777" w:rsidR="00CB7DB1" w:rsidRDefault="00CB7D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7A463" w14:textId="77777777" w:rsidR="00CB7DB1" w:rsidRPr="00BD7FB4" w:rsidRDefault="00CB7DB1">
    <w:pPr>
      <w:pStyle w:val="Footer"/>
      <w:jc w:val="right"/>
    </w:pPr>
    <w:r>
      <w:t>NHS NIR</w:t>
    </w:r>
    <w:r w:rsidRPr="00BD7FB4">
      <w:tab/>
    </w:r>
    <w:sdt>
      <w:sdtPr>
        <w:id w:val="-186147207"/>
        <w:docPartObj>
          <w:docPartGallery w:val="Page Numbers (Bottom of Page)"/>
          <w:docPartUnique/>
        </w:docPartObj>
      </w:sdtPr>
      <w:sdtContent>
        <w:sdt>
          <w:sdtPr>
            <w:id w:val="-323199283"/>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15DA368B" w14:textId="77777777" w:rsidR="00CB7DB1" w:rsidRPr="00BD7FB4" w:rsidRDefault="00CB7DB1" w:rsidP="0000416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89FA8" w14:textId="77777777" w:rsidR="00CB7DB1" w:rsidRPr="00BD7FB4" w:rsidRDefault="00CB7DB1" w:rsidP="005B5BEF">
    <w:pPr>
      <w:pStyle w:val="Footer"/>
      <w:jc w:val="center"/>
    </w:pPr>
    <w:r>
      <w:t>NHS NIR</w:t>
    </w:r>
    <w:r w:rsidRPr="00BD7FB4">
      <w:tab/>
    </w:r>
    <w:sdt>
      <w:sdtPr>
        <w:id w:val="46260177"/>
        <w:docPartObj>
          <w:docPartGallery w:val="Page Numbers (Bottom of Page)"/>
          <w:docPartUnique/>
        </w:docPartObj>
      </w:sdtPr>
      <w:sdtContent>
        <w:sdt>
          <w:sdtPr>
            <w:id w:val="-1249343905"/>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2821B857" w14:textId="77777777" w:rsidR="00CB7DB1" w:rsidRPr="00BD7FB4" w:rsidRDefault="00CB7DB1" w:rsidP="00BE6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173BC" w14:textId="77777777" w:rsidR="00D812B9" w:rsidRPr="00BD7FB4" w:rsidRDefault="00D812B9" w:rsidP="000C24AF">
      <w:pPr>
        <w:spacing w:after="0"/>
      </w:pPr>
      <w:r w:rsidRPr="00BD7FB4">
        <w:separator/>
      </w:r>
    </w:p>
  </w:footnote>
  <w:footnote w:type="continuationSeparator" w:id="0">
    <w:p w14:paraId="7D01B225" w14:textId="77777777" w:rsidR="00D812B9" w:rsidRPr="00BD7FB4" w:rsidRDefault="00D812B9" w:rsidP="000C24AF">
      <w:pPr>
        <w:spacing w:after="0"/>
      </w:pPr>
      <w:r w:rsidRPr="00BD7FB4">
        <w:continuationSeparator/>
      </w:r>
    </w:p>
  </w:footnote>
  <w:footnote w:type="continuationNotice" w:id="1">
    <w:p w14:paraId="63297061" w14:textId="77777777" w:rsidR="00D812B9" w:rsidRPr="00BD7FB4" w:rsidRDefault="00D812B9">
      <w:pPr>
        <w:spacing w:after="0"/>
      </w:pPr>
    </w:p>
  </w:footnote>
  <w:footnote w:id="2">
    <w:p w14:paraId="7B460752" w14:textId="14CB0C16" w:rsidR="0095409E" w:rsidRDefault="0095409E">
      <w:pPr>
        <w:pStyle w:val="FootnoteText"/>
      </w:pPr>
      <w:r>
        <w:rPr>
          <w:rStyle w:val="FootnoteReference"/>
        </w:rPr>
        <w:footnoteRef/>
      </w:r>
      <w:r>
        <w:t xml:space="preserve"> </w:t>
      </w:r>
      <w:r w:rsidRPr="0095409E">
        <w:rPr>
          <w:sz w:val="18"/>
          <w:szCs w:val="18"/>
        </w:rPr>
        <w:t>ISO 14971 standard on the application of risk management to medical devices.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77777777" w:rsidR="0075616C" w:rsidRPr="00BD7FB4" w:rsidRDefault="0075616C" w:rsidP="00E5704B">
    <w:r w:rsidRPr="00BD7FB4">
      <w:t>3</w:t>
    </w:r>
  </w:p>
  <w:p w14:paraId="31F49991" w14:textId="77777777" w:rsidR="0075616C" w:rsidRPr="00BD7FB4" w:rsidRDefault="0075616C" w:rsidP="00E5704B"/>
  <w:p w14:paraId="0FB41450" w14:textId="77777777" w:rsidR="0075616C" w:rsidRPr="00BD7FB4" w:rsidRDefault="0075616C" w:rsidP="00E5704B"/>
  <w:p w14:paraId="0A7C033A" w14:textId="77777777" w:rsidR="0075616C" w:rsidRPr="00BD7FB4" w:rsidRDefault="0075616C" w:rsidP="00E5704B"/>
  <w:p w14:paraId="52948A75" w14:textId="77777777" w:rsidR="0075616C" w:rsidRPr="00BD7FB4" w:rsidRDefault="0075616C"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027F2418" w:rsidR="0075616C" w:rsidRPr="00BD7FB4" w:rsidRDefault="00175953" w:rsidP="00175953">
    <w:pPr>
      <w:jc w:val="center"/>
    </w:pPr>
    <w:r>
      <w:rPr>
        <w:noProof/>
      </w:rPr>
      <w:drawing>
        <wp:anchor distT="0" distB="0" distL="114300" distR="114300" simplePos="0" relativeHeight="251656704" behindDoc="0" locked="0" layoutInCell="1" allowOverlap="1" wp14:anchorId="29385BA4" wp14:editId="7F20D395">
          <wp:simplePos x="0" y="0"/>
          <wp:positionH relativeFrom="column">
            <wp:posOffset>-279684</wp:posOffset>
          </wp:positionH>
          <wp:positionV relativeFrom="paragraph">
            <wp:posOffset>-15079</wp:posOffset>
          </wp:positionV>
          <wp:extent cx="1510264" cy="552734"/>
          <wp:effectExtent l="0" t="0" r="0" b="0"/>
          <wp:wrapNone/>
          <wp:docPr id="1830802464" name="Picture 5" descr="Etho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ho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10264" cy="55273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A6425">
      <w:rPr>
        <w:noProof/>
      </w:rPr>
      <w:drawing>
        <wp:anchor distT="0" distB="0" distL="114300" distR="114300" simplePos="0" relativeHeight="251654656" behindDoc="0" locked="0" layoutInCell="1" allowOverlap="1" wp14:anchorId="4F3D6785" wp14:editId="0BD77FCF">
          <wp:simplePos x="0" y="0"/>
          <wp:positionH relativeFrom="column">
            <wp:posOffset>5035882</wp:posOffset>
          </wp:positionH>
          <wp:positionV relativeFrom="paragraph">
            <wp:posOffset>-63159</wp:posOffset>
          </wp:positionV>
          <wp:extent cx="1608910" cy="688004"/>
          <wp:effectExtent l="0" t="0" r="0" b="0"/>
          <wp:wrapNone/>
          <wp:docPr id="1546228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2">
                    <a:extLst>
                      <a:ext uri="{28A0092B-C50C-407E-A947-70E740481C1C}">
                        <a14:useLocalDpi xmlns:a14="http://schemas.microsoft.com/office/drawing/2010/main" val="0"/>
                      </a:ext>
                    </a:extLst>
                  </a:blip>
                  <a:stretch>
                    <a:fillRect/>
                  </a:stretch>
                </pic:blipFill>
                <pic:spPr>
                  <a:xfrm>
                    <a:off x="0" y="0"/>
                    <a:ext cx="1608910" cy="688004"/>
                  </a:xfrm>
                  <a:prstGeom prst="rect">
                    <a:avLst/>
                  </a:prstGeom>
                </pic:spPr>
              </pic:pic>
            </a:graphicData>
          </a:graphic>
          <wp14:sizeRelH relativeFrom="page">
            <wp14:pctWidth>0</wp14:pctWidth>
          </wp14:sizeRelH>
          <wp14:sizeRelV relativeFrom="page">
            <wp14:pctHeight>0</wp14:pctHeight>
          </wp14:sizeRelV>
        </wp:anchor>
      </w:drawing>
    </w:r>
    <w:r w:rsidR="00EB4640" w:rsidRPr="00BD7FB4">
      <w:rPr>
        <w:rFonts w:asciiTheme="minorHAnsi" w:hAnsiTheme="minorHAnsi"/>
        <w:b/>
        <w:bCs/>
        <w:noProof/>
        <w:lang w:eastAsia="en-GB"/>
      </w:rPr>
      <mc:AlternateContent>
        <mc:Choice Requires="wps">
          <w:drawing>
            <wp:anchor distT="0" distB="0" distL="114300" distR="114300" simplePos="0" relativeHeight="251653632" behindDoc="0" locked="0" layoutInCell="1" allowOverlap="1" wp14:anchorId="2EA7EC6A" wp14:editId="5D38C186">
              <wp:simplePos x="0" y="0"/>
              <wp:positionH relativeFrom="page">
                <wp:posOffset>-168249</wp:posOffset>
              </wp:positionH>
              <wp:positionV relativeFrom="page">
                <wp:posOffset>2832735</wp:posOffset>
              </wp:positionV>
              <wp:extent cx="7560000" cy="2916000"/>
              <wp:effectExtent l="0" t="0" r="3175" b="0"/>
              <wp:wrapNone/>
              <wp:docPr id="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667D96EF">
            <v:rect id="Rectangle 3" style="position:absolute;margin-left:-13.25pt;margin-top:223.05pt;width:595.3pt;height:229.6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spid="_x0000_s1026" fillcolor="#f2f2f2 [3052]" stroked="f" strokeweight="2pt" w14:anchorId="081D0A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w10:wrap anchorx="page" anchory="page"/>
            </v:rect>
          </w:pict>
        </mc:Fallback>
      </mc:AlternateContent>
    </w:r>
    <w:r w:rsidR="00234254">
      <w:t>National Image Re</w:t>
    </w:r>
    <w:r w:rsidR="00475B2A">
      <w:t>gistry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003E6" w14:textId="5FD8678F" w:rsidR="0075616C" w:rsidRPr="00BD7FB4" w:rsidRDefault="00000000" w:rsidP="00475B2A">
    <w:pPr>
      <w:pStyle w:val="Header"/>
      <w:pBdr>
        <w:bottom w:val="single" w:sz="2" w:space="13" w:color="84919C" w:themeColor="accent2"/>
      </w:pBdr>
    </w:pPr>
    <w:sdt>
      <w:sdtPr>
        <w:id w:val="403955801"/>
        <w:docPartObj>
          <w:docPartGallery w:val="Watermarks"/>
          <w:docPartUnique/>
        </w:docPartObj>
      </w:sdtPr>
      <w:sdtContent>
        <w:r w:rsidR="00D812B9">
          <w:rPr>
            <w:noProof/>
          </w:rPr>
          <w:pict w14:anchorId="5FB312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465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475B2A" w:rsidRPr="00CA6425">
      <w:rPr>
        <w:noProof/>
      </w:rPr>
      <w:drawing>
        <wp:anchor distT="0" distB="0" distL="114300" distR="114300" simplePos="0" relativeHeight="251655680" behindDoc="0" locked="0" layoutInCell="1" allowOverlap="1" wp14:anchorId="79920826" wp14:editId="4D847909">
          <wp:simplePos x="0" y="0"/>
          <wp:positionH relativeFrom="margin">
            <wp:posOffset>5214249</wp:posOffset>
          </wp:positionH>
          <wp:positionV relativeFrom="paragraph">
            <wp:posOffset>-120650</wp:posOffset>
          </wp:positionV>
          <wp:extent cx="980072" cy="419100"/>
          <wp:effectExtent l="0" t="0" r="0" b="0"/>
          <wp:wrapNone/>
          <wp:docPr id="1545169347"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25662"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983037" cy="420368"/>
                  </a:xfrm>
                  <a:prstGeom prst="rect">
                    <a:avLst/>
                  </a:prstGeom>
                </pic:spPr>
              </pic:pic>
            </a:graphicData>
          </a:graphic>
          <wp14:sizeRelH relativeFrom="page">
            <wp14:pctWidth>0</wp14:pctWidth>
          </wp14:sizeRelH>
          <wp14:sizeRelV relativeFrom="page">
            <wp14:pctHeight>0</wp14:pctHeight>
          </wp14:sizeRelV>
        </wp:anchor>
      </w:drawing>
    </w:r>
    <w:sdt>
      <w:sdtPr>
        <w:alias w:val="Title"/>
        <w:tag w:val="title"/>
        <w:id w:val="1466934868"/>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Content>
        <w:r w:rsidR="00234254">
          <w:t>National Registry for Imaging (NIR)</w:t>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88C71" w14:textId="77777777" w:rsidR="00CB7DB1" w:rsidRDefault="00CB7D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C6917" w14:textId="56F331DE" w:rsidR="00CB7DB1" w:rsidRPr="00BD7FB4" w:rsidRDefault="00CB7DB1" w:rsidP="00E5704B">
    <w:r w:rsidRPr="00CA6425">
      <w:rPr>
        <w:noProof/>
      </w:rPr>
      <w:drawing>
        <wp:anchor distT="0" distB="0" distL="114300" distR="114300" simplePos="0" relativeHeight="251660800" behindDoc="0" locked="0" layoutInCell="1" allowOverlap="1" wp14:anchorId="1BBA2515" wp14:editId="4ACD00FE">
          <wp:simplePos x="0" y="0"/>
          <wp:positionH relativeFrom="column">
            <wp:posOffset>5206200</wp:posOffset>
          </wp:positionH>
          <wp:positionV relativeFrom="paragraph">
            <wp:posOffset>8593</wp:posOffset>
          </wp:positionV>
          <wp:extent cx="1019043" cy="435764"/>
          <wp:effectExtent l="0" t="0" r="0" b="2540"/>
          <wp:wrapNone/>
          <wp:docPr id="508452160"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52160"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9776" behindDoc="0" locked="0" layoutInCell="1" allowOverlap="1" wp14:anchorId="17446233" wp14:editId="3577FB5F">
              <wp:simplePos x="0" y="0"/>
              <wp:positionH relativeFrom="page">
                <wp:posOffset>-168249</wp:posOffset>
              </wp:positionH>
              <wp:positionV relativeFrom="page">
                <wp:posOffset>2832735</wp:posOffset>
              </wp:positionV>
              <wp:extent cx="7560000" cy="2916000"/>
              <wp:effectExtent l="0" t="0" r="3175" b="0"/>
              <wp:wrapNone/>
              <wp:docPr id="84143678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D88F9F" id="Rectangle 3" o:spid="_x0000_s1026" style="position:absolute;margin-left:-13.25pt;margin-top:223.05pt;width:595.3pt;height:229.6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5A8F9" w14:textId="77777777" w:rsidR="00CB7DB1" w:rsidRPr="00BD7FB4" w:rsidRDefault="00CB7DB1" w:rsidP="00F5718C">
    <w:r w:rsidRPr="00CA6425">
      <w:rPr>
        <w:noProof/>
      </w:rPr>
      <w:drawing>
        <wp:anchor distT="0" distB="0" distL="114300" distR="114300" simplePos="0" relativeHeight="251658752" behindDoc="0" locked="0" layoutInCell="1" allowOverlap="1" wp14:anchorId="6458A391" wp14:editId="64135A01">
          <wp:simplePos x="0" y="0"/>
          <wp:positionH relativeFrom="column">
            <wp:posOffset>5206200</wp:posOffset>
          </wp:positionH>
          <wp:positionV relativeFrom="paragraph">
            <wp:posOffset>8593</wp:posOffset>
          </wp:positionV>
          <wp:extent cx="1019043" cy="435764"/>
          <wp:effectExtent l="0" t="0" r="0" b="2540"/>
          <wp:wrapNone/>
          <wp:docPr id="2112205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7728" behindDoc="0" locked="0" layoutInCell="1" allowOverlap="1" wp14:anchorId="700FB72E" wp14:editId="25F349BD">
              <wp:simplePos x="0" y="0"/>
              <wp:positionH relativeFrom="page">
                <wp:posOffset>-168249</wp:posOffset>
              </wp:positionH>
              <wp:positionV relativeFrom="page">
                <wp:posOffset>2832735</wp:posOffset>
              </wp:positionV>
              <wp:extent cx="7560000" cy="2916000"/>
              <wp:effectExtent l="0" t="0" r="3175" b="0"/>
              <wp:wrapNone/>
              <wp:docPr id="1187696104"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4012F8" id="Rectangle 3" o:spid="_x0000_s1026" style="position:absolute;margin-left:-13.25pt;margin-top:223.05pt;width:595.3pt;height:229.6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210C3"/>
    <w:multiLevelType w:val="multilevel"/>
    <w:tmpl w:val="84066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85A9D"/>
    <w:multiLevelType w:val="multilevel"/>
    <w:tmpl w:val="12161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4B7AC2"/>
    <w:multiLevelType w:val="multilevel"/>
    <w:tmpl w:val="547A6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FE5910"/>
    <w:multiLevelType w:val="hybridMultilevel"/>
    <w:tmpl w:val="E8826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68436F"/>
    <w:multiLevelType w:val="hybridMultilevel"/>
    <w:tmpl w:val="75A6D5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61C7D2A"/>
    <w:multiLevelType w:val="hybridMultilevel"/>
    <w:tmpl w:val="FAE863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72D7D4B"/>
    <w:multiLevelType w:val="multilevel"/>
    <w:tmpl w:val="E07E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3206AC"/>
    <w:multiLevelType w:val="multilevel"/>
    <w:tmpl w:val="5BF68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9400456"/>
    <w:multiLevelType w:val="multilevel"/>
    <w:tmpl w:val="27042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7912E9"/>
    <w:multiLevelType w:val="multilevel"/>
    <w:tmpl w:val="71D8E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531142"/>
    <w:multiLevelType w:val="hybridMultilevel"/>
    <w:tmpl w:val="802A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DF64667"/>
    <w:multiLevelType w:val="hybridMultilevel"/>
    <w:tmpl w:val="241A6C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F72371C"/>
    <w:multiLevelType w:val="multilevel"/>
    <w:tmpl w:val="F1EEE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7A5CD9"/>
    <w:multiLevelType w:val="hybridMultilevel"/>
    <w:tmpl w:val="7B62C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2851CA1"/>
    <w:multiLevelType w:val="multilevel"/>
    <w:tmpl w:val="1FA2E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A275EE"/>
    <w:multiLevelType w:val="multilevel"/>
    <w:tmpl w:val="EF867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3303E14"/>
    <w:multiLevelType w:val="multilevel"/>
    <w:tmpl w:val="A1363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665566B"/>
    <w:multiLevelType w:val="multilevel"/>
    <w:tmpl w:val="09C4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79863EC"/>
    <w:multiLevelType w:val="hybridMultilevel"/>
    <w:tmpl w:val="2AB6F3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1A514A8E"/>
    <w:multiLevelType w:val="multilevel"/>
    <w:tmpl w:val="C8ECA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B9B2D1D"/>
    <w:multiLevelType w:val="hybridMultilevel"/>
    <w:tmpl w:val="FFA052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1C42427C"/>
    <w:multiLevelType w:val="multilevel"/>
    <w:tmpl w:val="8E803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F135F4D"/>
    <w:multiLevelType w:val="multilevel"/>
    <w:tmpl w:val="D3DAE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30956D8"/>
    <w:multiLevelType w:val="hybridMultilevel"/>
    <w:tmpl w:val="D82A5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315111E"/>
    <w:multiLevelType w:val="multilevel"/>
    <w:tmpl w:val="478424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53D4643"/>
    <w:multiLevelType w:val="multilevel"/>
    <w:tmpl w:val="8F148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7923FF2"/>
    <w:multiLevelType w:val="multilevel"/>
    <w:tmpl w:val="B64E6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949077A"/>
    <w:multiLevelType w:val="multilevel"/>
    <w:tmpl w:val="0AC8E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974046A"/>
    <w:multiLevelType w:val="multilevel"/>
    <w:tmpl w:val="22209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B022934"/>
    <w:multiLevelType w:val="multilevel"/>
    <w:tmpl w:val="EEE8F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B312419"/>
    <w:multiLevelType w:val="multilevel"/>
    <w:tmpl w:val="33B87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B83741E"/>
    <w:multiLevelType w:val="hybridMultilevel"/>
    <w:tmpl w:val="DFCC2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B8A0C6A"/>
    <w:multiLevelType w:val="multilevel"/>
    <w:tmpl w:val="D61A5D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F1E4BD9"/>
    <w:multiLevelType w:val="multilevel"/>
    <w:tmpl w:val="EF18E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FBE3A0B"/>
    <w:multiLevelType w:val="multilevel"/>
    <w:tmpl w:val="0C4C3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20C311A"/>
    <w:multiLevelType w:val="multilevel"/>
    <w:tmpl w:val="D46E0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23730BB"/>
    <w:multiLevelType w:val="multilevel"/>
    <w:tmpl w:val="40D24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2603E78"/>
    <w:multiLevelType w:val="multilevel"/>
    <w:tmpl w:val="6DFE0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2FD5F35"/>
    <w:multiLevelType w:val="multilevel"/>
    <w:tmpl w:val="6EA89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3AB60D7"/>
    <w:multiLevelType w:val="multilevel"/>
    <w:tmpl w:val="DC869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516423E"/>
    <w:multiLevelType w:val="multilevel"/>
    <w:tmpl w:val="1E900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55E1B70"/>
    <w:multiLevelType w:val="hybridMultilevel"/>
    <w:tmpl w:val="78DE5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7AD258A"/>
    <w:multiLevelType w:val="multilevel"/>
    <w:tmpl w:val="A1F60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88E5DD2"/>
    <w:multiLevelType w:val="hybridMultilevel"/>
    <w:tmpl w:val="0E3ED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93E44D9"/>
    <w:multiLevelType w:val="multilevel"/>
    <w:tmpl w:val="0944B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9A123AF"/>
    <w:multiLevelType w:val="multilevel"/>
    <w:tmpl w:val="58542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9B22878"/>
    <w:multiLevelType w:val="hybridMultilevel"/>
    <w:tmpl w:val="9CC60342"/>
    <w:lvl w:ilvl="0" w:tplc="DC320FAC">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A947F06"/>
    <w:multiLevelType w:val="hybridMultilevel"/>
    <w:tmpl w:val="C6425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ABF6F67"/>
    <w:multiLevelType w:val="multilevel"/>
    <w:tmpl w:val="13DC5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B4E6337"/>
    <w:multiLevelType w:val="multilevel"/>
    <w:tmpl w:val="0B4A5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3DB16C76"/>
    <w:multiLevelType w:val="multilevel"/>
    <w:tmpl w:val="5D34F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DFD463A"/>
    <w:multiLevelType w:val="multilevel"/>
    <w:tmpl w:val="E6F29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FAD1F39"/>
    <w:multiLevelType w:val="multilevel"/>
    <w:tmpl w:val="12FA4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3427CBB"/>
    <w:multiLevelType w:val="multilevel"/>
    <w:tmpl w:val="01544178"/>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3A71C9B"/>
    <w:multiLevelType w:val="multilevel"/>
    <w:tmpl w:val="22DC9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5353714"/>
    <w:multiLevelType w:val="multilevel"/>
    <w:tmpl w:val="66DED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5551536"/>
    <w:multiLevelType w:val="multilevel"/>
    <w:tmpl w:val="F2DA2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69F15B1"/>
    <w:multiLevelType w:val="hybridMultilevel"/>
    <w:tmpl w:val="D23CF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7A53B7C"/>
    <w:multiLevelType w:val="multilevel"/>
    <w:tmpl w:val="91ACD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94E0433"/>
    <w:multiLevelType w:val="hybridMultilevel"/>
    <w:tmpl w:val="9230DE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1" w15:restartNumberingAfterBreak="0">
    <w:nsid w:val="4A54411A"/>
    <w:multiLevelType w:val="multilevel"/>
    <w:tmpl w:val="62E0C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CBF0FA2"/>
    <w:multiLevelType w:val="multilevel"/>
    <w:tmpl w:val="168A29F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4F8A1E72"/>
    <w:multiLevelType w:val="multilevel"/>
    <w:tmpl w:val="67EA1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15979A1"/>
    <w:multiLevelType w:val="multilevel"/>
    <w:tmpl w:val="B0B49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15B648C"/>
    <w:multiLevelType w:val="multilevel"/>
    <w:tmpl w:val="4CA85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160182E"/>
    <w:multiLevelType w:val="multilevel"/>
    <w:tmpl w:val="ACF26E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24602CD"/>
    <w:multiLevelType w:val="hybridMultilevel"/>
    <w:tmpl w:val="2B6079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8" w15:restartNumberingAfterBreak="0">
    <w:nsid w:val="52CD42FC"/>
    <w:multiLevelType w:val="multilevel"/>
    <w:tmpl w:val="2324A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53A061C0"/>
    <w:multiLevelType w:val="multilevel"/>
    <w:tmpl w:val="A044E3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4714B41"/>
    <w:multiLevelType w:val="multilevel"/>
    <w:tmpl w:val="A8DCA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54F17A39"/>
    <w:multiLevelType w:val="multilevel"/>
    <w:tmpl w:val="7966B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5206C4B"/>
    <w:multiLevelType w:val="multilevel"/>
    <w:tmpl w:val="A8B484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774496D"/>
    <w:multiLevelType w:val="hybridMultilevel"/>
    <w:tmpl w:val="2BA02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B8C47DC"/>
    <w:multiLevelType w:val="multilevel"/>
    <w:tmpl w:val="F5685A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BD014F1"/>
    <w:multiLevelType w:val="hybridMultilevel"/>
    <w:tmpl w:val="50985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BF91A3F"/>
    <w:multiLevelType w:val="multilevel"/>
    <w:tmpl w:val="2B245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C31152A"/>
    <w:multiLevelType w:val="multilevel"/>
    <w:tmpl w:val="448AD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5CB42FFD"/>
    <w:multiLevelType w:val="multilevel"/>
    <w:tmpl w:val="84620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D1241F1"/>
    <w:multiLevelType w:val="multilevel"/>
    <w:tmpl w:val="F48AD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5F521CD1"/>
    <w:multiLevelType w:val="multilevel"/>
    <w:tmpl w:val="5F363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0532A76"/>
    <w:multiLevelType w:val="multilevel"/>
    <w:tmpl w:val="4BD69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1012F19"/>
    <w:multiLevelType w:val="multilevel"/>
    <w:tmpl w:val="2CBEF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16769BA"/>
    <w:multiLevelType w:val="multilevel"/>
    <w:tmpl w:val="8578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62E82F3B"/>
    <w:multiLevelType w:val="hybridMultilevel"/>
    <w:tmpl w:val="4BB6D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5442031"/>
    <w:multiLevelType w:val="multilevel"/>
    <w:tmpl w:val="849AB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755651F"/>
    <w:multiLevelType w:val="multilevel"/>
    <w:tmpl w:val="3490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8DA5301"/>
    <w:multiLevelType w:val="multilevel"/>
    <w:tmpl w:val="27101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6A0808AA"/>
    <w:multiLevelType w:val="multilevel"/>
    <w:tmpl w:val="001CB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AAD2ADC"/>
    <w:multiLevelType w:val="multilevel"/>
    <w:tmpl w:val="C5A0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6EA210D7"/>
    <w:multiLevelType w:val="multilevel"/>
    <w:tmpl w:val="59CC6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F223769"/>
    <w:multiLevelType w:val="hybridMultilevel"/>
    <w:tmpl w:val="1196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70274821"/>
    <w:multiLevelType w:val="multilevel"/>
    <w:tmpl w:val="AE28D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73473998"/>
    <w:multiLevelType w:val="multilevel"/>
    <w:tmpl w:val="8D70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54D6AF6"/>
    <w:multiLevelType w:val="hybridMultilevel"/>
    <w:tmpl w:val="76040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90F0EF4"/>
    <w:multiLevelType w:val="hybridMultilevel"/>
    <w:tmpl w:val="CA48D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9C95DAF"/>
    <w:multiLevelType w:val="multilevel"/>
    <w:tmpl w:val="AAF036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7B2D5148"/>
    <w:multiLevelType w:val="multilevel"/>
    <w:tmpl w:val="09AE9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B792845"/>
    <w:multiLevelType w:val="hybridMultilevel"/>
    <w:tmpl w:val="360E0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30749430">
    <w:abstractNumId w:val="1"/>
  </w:num>
  <w:num w:numId="2" w16cid:durableId="818300477">
    <w:abstractNumId w:val="95"/>
  </w:num>
  <w:num w:numId="3" w16cid:durableId="521936310">
    <w:abstractNumId w:val="34"/>
  </w:num>
  <w:num w:numId="4" w16cid:durableId="823930647">
    <w:abstractNumId w:val="89"/>
  </w:num>
  <w:num w:numId="5" w16cid:durableId="1660961625">
    <w:abstractNumId w:val="27"/>
  </w:num>
  <w:num w:numId="6" w16cid:durableId="948320356">
    <w:abstractNumId w:val="68"/>
  </w:num>
  <w:num w:numId="7" w16cid:durableId="1207987215">
    <w:abstractNumId w:val="87"/>
  </w:num>
  <w:num w:numId="8" w16cid:durableId="602999610">
    <w:abstractNumId w:val="3"/>
  </w:num>
  <w:num w:numId="9" w16cid:durableId="1699350893">
    <w:abstractNumId w:val="43"/>
  </w:num>
  <w:num w:numId="10" w16cid:durableId="851653076">
    <w:abstractNumId w:val="83"/>
  </w:num>
  <w:num w:numId="11" w16cid:durableId="1543130005">
    <w:abstractNumId w:val="57"/>
  </w:num>
  <w:num w:numId="12" w16cid:durableId="265819129">
    <w:abstractNumId w:val="18"/>
  </w:num>
  <w:num w:numId="13" w16cid:durableId="1225137761">
    <w:abstractNumId w:val="70"/>
  </w:num>
  <w:num w:numId="14" w16cid:durableId="755637261">
    <w:abstractNumId w:val="62"/>
  </w:num>
  <w:num w:numId="15" w16cid:durableId="1346638797">
    <w:abstractNumId w:val="49"/>
  </w:num>
  <w:num w:numId="16" w16cid:durableId="1812751965">
    <w:abstractNumId w:val="8"/>
  </w:num>
  <w:num w:numId="17" w16cid:durableId="1189297976">
    <w:abstractNumId w:val="51"/>
  </w:num>
  <w:num w:numId="18" w16cid:durableId="1908220419">
    <w:abstractNumId w:val="28"/>
  </w:num>
  <w:num w:numId="19" w16cid:durableId="673145149">
    <w:abstractNumId w:val="36"/>
  </w:num>
  <w:num w:numId="20" w16cid:durableId="486480454">
    <w:abstractNumId w:val="25"/>
  </w:num>
  <w:num w:numId="21" w16cid:durableId="1486240395">
    <w:abstractNumId w:val="26"/>
  </w:num>
  <w:num w:numId="22" w16cid:durableId="2010450053">
    <w:abstractNumId w:val="94"/>
  </w:num>
  <w:num w:numId="23" w16cid:durableId="183328620">
    <w:abstractNumId w:val="98"/>
  </w:num>
  <w:num w:numId="24" w16cid:durableId="2083093205">
    <w:abstractNumId w:val="24"/>
  </w:num>
  <w:num w:numId="25" w16cid:durableId="1870099983">
    <w:abstractNumId w:val="31"/>
  </w:num>
  <w:num w:numId="26" w16cid:durableId="534272362">
    <w:abstractNumId w:val="97"/>
  </w:num>
  <w:num w:numId="27" w16cid:durableId="1583635268">
    <w:abstractNumId w:val="9"/>
  </w:num>
  <w:num w:numId="28" w16cid:durableId="492793229">
    <w:abstractNumId w:val="7"/>
  </w:num>
  <w:num w:numId="29" w16cid:durableId="1845780612">
    <w:abstractNumId w:val="56"/>
  </w:num>
  <w:num w:numId="30" w16cid:durableId="808323297">
    <w:abstractNumId w:val="86"/>
  </w:num>
  <w:num w:numId="31" w16cid:durableId="217209853">
    <w:abstractNumId w:val="81"/>
  </w:num>
  <w:num w:numId="32" w16cid:durableId="1300304846">
    <w:abstractNumId w:val="41"/>
  </w:num>
  <w:num w:numId="33" w16cid:durableId="70472905">
    <w:abstractNumId w:val="92"/>
  </w:num>
  <w:num w:numId="34" w16cid:durableId="1633631032">
    <w:abstractNumId w:val="5"/>
  </w:num>
  <w:num w:numId="35" w16cid:durableId="20054378">
    <w:abstractNumId w:val="33"/>
  </w:num>
  <w:num w:numId="36" w16cid:durableId="1565947882">
    <w:abstractNumId w:val="82"/>
  </w:num>
  <w:num w:numId="37" w16cid:durableId="524711969">
    <w:abstractNumId w:val="88"/>
  </w:num>
  <w:num w:numId="38" w16cid:durableId="1061706759">
    <w:abstractNumId w:val="67"/>
  </w:num>
  <w:num w:numId="39" w16cid:durableId="1193110064">
    <w:abstractNumId w:val="6"/>
  </w:num>
  <w:num w:numId="40" w16cid:durableId="45497100">
    <w:abstractNumId w:val="91"/>
  </w:num>
  <w:num w:numId="41" w16cid:durableId="1598980054">
    <w:abstractNumId w:val="19"/>
  </w:num>
  <w:num w:numId="42" w16cid:durableId="1985695660">
    <w:abstractNumId w:val="60"/>
  </w:num>
  <w:num w:numId="43" w16cid:durableId="1146971991">
    <w:abstractNumId w:val="77"/>
  </w:num>
  <w:num w:numId="44" w16cid:durableId="965888208">
    <w:abstractNumId w:val="63"/>
  </w:num>
  <w:num w:numId="45" w16cid:durableId="26223525">
    <w:abstractNumId w:val="21"/>
  </w:num>
  <w:num w:numId="46" w16cid:durableId="911544088">
    <w:abstractNumId w:val="90"/>
  </w:num>
  <w:num w:numId="47" w16cid:durableId="1132751901">
    <w:abstractNumId w:val="64"/>
  </w:num>
  <w:num w:numId="48" w16cid:durableId="809329419">
    <w:abstractNumId w:val="13"/>
  </w:num>
  <w:num w:numId="49" w16cid:durableId="1913008150">
    <w:abstractNumId w:val="20"/>
  </w:num>
  <w:num w:numId="50" w16cid:durableId="1461533259">
    <w:abstractNumId w:val="0"/>
  </w:num>
  <w:num w:numId="51" w16cid:durableId="2015650371">
    <w:abstractNumId w:val="16"/>
  </w:num>
  <w:num w:numId="52" w16cid:durableId="869873615">
    <w:abstractNumId w:val="42"/>
  </w:num>
  <w:num w:numId="53" w16cid:durableId="663977217">
    <w:abstractNumId w:val="84"/>
  </w:num>
  <w:num w:numId="54" w16cid:durableId="1957523326">
    <w:abstractNumId w:val="14"/>
  </w:num>
  <w:num w:numId="55" w16cid:durableId="169417814">
    <w:abstractNumId w:val="58"/>
  </w:num>
  <w:num w:numId="56" w16cid:durableId="782925579">
    <w:abstractNumId w:val="32"/>
  </w:num>
  <w:num w:numId="57" w16cid:durableId="1913465386">
    <w:abstractNumId w:val="44"/>
  </w:num>
  <w:num w:numId="58" w16cid:durableId="2043478027">
    <w:abstractNumId w:val="73"/>
  </w:num>
  <w:num w:numId="59" w16cid:durableId="384988953">
    <w:abstractNumId w:val="96"/>
  </w:num>
  <w:num w:numId="60" w16cid:durableId="1749770831">
    <w:abstractNumId w:val="74"/>
  </w:num>
  <w:num w:numId="61" w16cid:durableId="1265116400">
    <w:abstractNumId w:val="52"/>
  </w:num>
  <w:num w:numId="62" w16cid:durableId="844635268">
    <w:abstractNumId w:val="39"/>
  </w:num>
  <w:num w:numId="63" w16cid:durableId="1392391044">
    <w:abstractNumId w:val="40"/>
  </w:num>
  <w:num w:numId="64" w16cid:durableId="652178197">
    <w:abstractNumId w:val="48"/>
  </w:num>
  <w:num w:numId="65" w16cid:durableId="1655834432">
    <w:abstractNumId w:val="75"/>
  </w:num>
  <w:num w:numId="66" w16cid:durableId="2017340008">
    <w:abstractNumId w:val="4"/>
  </w:num>
  <w:num w:numId="67" w16cid:durableId="2138526792">
    <w:abstractNumId w:val="11"/>
  </w:num>
  <w:num w:numId="68" w16cid:durableId="584343443">
    <w:abstractNumId w:val="23"/>
  </w:num>
  <w:num w:numId="69" w16cid:durableId="1614170241">
    <w:abstractNumId w:val="50"/>
  </w:num>
  <w:num w:numId="70" w16cid:durableId="557472438">
    <w:abstractNumId w:val="15"/>
  </w:num>
  <w:num w:numId="71" w16cid:durableId="1891115964">
    <w:abstractNumId w:val="54"/>
  </w:num>
  <w:num w:numId="72" w16cid:durableId="834107875">
    <w:abstractNumId w:val="22"/>
  </w:num>
  <w:num w:numId="73" w16cid:durableId="1282298001">
    <w:abstractNumId w:val="12"/>
  </w:num>
  <w:num w:numId="74" w16cid:durableId="2123497960">
    <w:abstractNumId w:val="76"/>
  </w:num>
  <w:num w:numId="75" w16cid:durableId="1124616488">
    <w:abstractNumId w:val="69"/>
  </w:num>
  <w:num w:numId="76" w16cid:durableId="773478334">
    <w:abstractNumId w:val="59"/>
  </w:num>
  <w:num w:numId="77" w16cid:durableId="1655913524">
    <w:abstractNumId w:val="72"/>
  </w:num>
  <w:num w:numId="78" w16cid:durableId="369846394">
    <w:abstractNumId w:val="71"/>
  </w:num>
  <w:num w:numId="79" w16cid:durableId="427311569">
    <w:abstractNumId w:val="65"/>
  </w:num>
  <w:num w:numId="80" w16cid:durableId="1581793460">
    <w:abstractNumId w:val="45"/>
  </w:num>
  <w:num w:numId="81" w16cid:durableId="567153462">
    <w:abstractNumId w:val="2"/>
  </w:num>
  <w:num w:numId="82" w16cid:durableId="1137915825">
    <w:abstractNumId w:val="37"/>
  </w:num>
  <w:num w:numId="83" w16cid:durableId="813136325">
    <w:abstractNumId w:val="38"/>
  </w:num>
  <w:num w:numId="84" w16cid:durableId="1424574789">
    <w:abstractNumId w:val="66"/>
  </w:num>
  <w:num w:numId="85" w16cid:durableId="1566181017">
    <w:abstractNumId w:val="17"/>
  </w:num>
  <w:num w:numId="86" w16cid:durableId="1879510300">
    <w:abstractNumId w:val="46"/>
  </w:num>
  <w:num w:numId="87" w16cid:durableId="1797219041">
    <w:abstractNumId w:val="29"/>
  </w:num>
  <w:num w:numId="88" w16cid:durableId="514727616">
    <w:abstractNumId w:val="30"/>
  </w:num>
  <w:num w:numId="89" w16cid:durableId="761803415">
    <w:abstractNumId w:val="79"/>
  </w:num>
  <w:num w:numId="90" w16cid:durableId="420371434">
    <w:abstractNumId w:val="61"/>
  </w:num>
  <w:num w:numId="91" w16cid:durableId="1788350059">
    <w:abstractNumId w:val="78"/>
  </w:num>
  <w:num w:numId="92" w16cid:durableId="1062482759">
    <w:abstractNumId w:val="55"/>
  </w:num>
  <w:num w:numId="93" w16cid:durableId="1895653978">
    <w:abstractNumId w:val="85"/>
  </w:num>
  <w:num w:numId="94" w16cid:durableId="2122336153">
    <w:abstractNumId w:val="93"/>
  </w:num>
  <w:num w:numId="95" w16cid:durableId="1896425194">
    <w:abstractNumId w:val="35"/>
  </w:num>
  <w:num w:numId="96" w16cid:durableId="1078330746">
    <w:abstractNumId w:val="10"/>
  </w:num>
  <w:num w:numId="97" w16cid:durableId="2031834839">
    <w:abstractNumId w:val="53"/>
  </w:num>
  <w:num w:numId="98" w16cid:durableId="311107127">
    <w:abstractNumId w:val="47"/>
  </w:num>
  <w:num w:numId="99" w16cid:durableId="1738941010">
    <w:abstractNumId w:val="8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removeDateAndTime/>
  <w:attachedTemplate r:id="rId1"/>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8A"/>
    <w:rsid w:val="00000197"/>
    <w:rsid w:val="0000030C"/>
    <w:rsid w:val="000008A9"/>
    <w:rsid w:val="00000940"/>
    <w:rsid w:val="00000CE2"/>
    <w:rsid w:val="000010FB"/>
    <w:rsid w:val="000017E3"/>
    <w:rsid w:val="000018C5"/>
    <w:rsid w:val="000019C8"/>
    <w:rsid w:val="00001F45"/>
    <w:rsid w:val="00002503"/>
    <w:rsid w:val="00002611"/>
    <w:rsid w:val="00003325"/>
    <w:rsid w:val="00003859"/>
    <w:rsid w:val="00003E8B"/>
    <w:rsid w:val="0000409C"/>
    <w:rsid w:val="0000416F"/>
    <w:rsid w:val="00004254"/>
    <w:rsid w:val="0000432E"/>
    <w:rsid w:val="00004A9B"/>
    <w:rsid w:val="0000507E"/>
    <w:rsid w:val="0000563B"/>
    <w:rsid w:val="0000670C"/>
    <w:rsid w:val="00006AAF"/>
    <w:rsid w:val="00006C79"/>
    <w:rsid w:val="000071BC"/>
    <w:rsid w:val="00007325"/>
    <w:rsid w:val="00007E5B"/>
    <w:rsid w:val="00007F99"/>
    <w:rsid w:val="000101B0"/>
    <w:rsid w:val="00010494"/>
    <w:rsid w:val="00011B77"/>
    <w:rsid w:val="00012966"/>
    <w:rsid w:val="00012976"/>
    <w:rsid w:val="00012C76"/>
    <w:rsid w:val="00013833"/>
    <w:rsid w:val="00013E4F"/>
    <w:rsid w:val="00014084"/>
    <w:rsid w:val="000141AB"/>
    <w:rsid w:val="0001457A"/>
    <w:rsid w:val="00014A69"/>
    <w:rsid w:val="00015833"/>
    <w:rsid w:val="00015AAC"/>
    <w:rsid w:val="00016804"/>
    <w:rsid w:val="000169CB"/>
    <w:rsid w:val="000169CD"/>
    <w:rsid w:val="000171DD"/>
    <w:rsid w:val="00017563"/>
    <w:rsid w:val="00017CFA"/>
    <w:rsid w:val="0002007E"/>
    <w:rsid w:val="0002011F"/>
    <w:rsid w:val="00020257"/>
    <w:rsid w:val="00020268"/>
    <w:rsid w:val="0002031A"/>
    <w:rsid w:val="00020642"/>
    <w:rsid w:val="00020A6C"/>
    <w:rsid w:val="00020BB6"/>
    <w:rsid w:val="000212D6"/>
    <w:rsid w:val="000218D3"/>
    <w:rsid w:val="00021D86"/>
    <w:rsid w:val="00022367"/>
    <w:rsid w:val="00022795"/>
    <w:rsid w:val="00023EEB"/>
    <w:rsid w:val="000246E1"/>
    <w:rsid w:val="000247E1"/>
    <w:rsid w:val="0002482F"/>
    <w:rsid w:val="00024DCA"/>
    <w:rsid w:val="0002798A"/>
    <w:rsid w:val="0003054D"/>
    <w:rsid w:val="00030B76"/>
    <w:rsid w:val="00031106"/>
    <w:rsid w:val="000314A3"/>
    <w:rsid w:val="0003151D"/>
    <w:rsid w:val="00031FEC"/>
    <w:rsid w:val="00032DE0"/>
    <w:rsid w:val="00033B7F"/>
    <w:rsid w:val="00033DBB"/>
    <w:rsid w:val="00034176"/>
    <w:rsid w:val="000343A7"/>
    <w:rsid w:val="00035161"/>
    <w:rsid w:val="0003549D"/>
    <w:rsid w:val="00035808"/>
    <w:rsid w:val="00035B94"/>
    <w:rsid w:val="00035DA9"/>
    <w:rsid w:val="00036A8E"/>
    <w:rsid w:val="00036F72"/>
    <w:rsid w:val="000375AF"/>
    <w:rsid w:val="000377A7"/>
    <w:rsid w:val="0003782B"/>
    <w:rsid w:val="00037F8E"/>
    <w:rsid w:val="0004038A"/>
    <w:rsid w:val="00040635"/>
    <w:rsid w:val="00040BAB"/>
    <w:rsid w:val="00041DBF"/>
    <w:rsid w:val="00042552"/>
    <w:rsid w:val="00042F5E"/>
    <w:rsid w:val="0004335A"/>
    <w:rsid w:val="000434BC"/>
    <w:rsid w:val="0004399F"/>
    <w:rsid w:val="00043A93"/>
    <w:rsid w:val="00043DDF"/>
    <w:rsid w:val="0004414D"/>
    <w:rsid w:val="00044CCB"/>
    <w:rsid w:val="00044D65"/>
    <w:rsid w:val="00044E16"/>
    <w:rsid w:val="00045CEC"/>
    <w:rsid w:val="0004630A"/>
    <w:rsid w:val="00047C7E"/>
    <w:rsid w:val="00047D41"/>
    <w:rsid w:val="00047E91"/>
    <w:rsid w:val="00047F1D"/>
    <w:rsid w:val="000510AD"/>
    <w:rsid w:val="0005125F"/>
    <w:rsid w:val="0005129A"/>
    <w:rsid w:val="00052ED4"/>
    <w:rsid w:val="00053009"/>
    <w:rsid w:val="0005317B"/>
    <w:rsid w:val="000532CA"/>
    <w:rsid w:val="00053666"/>
    <w:rsid w:val="00054D48"/>
    <w:rsid w:val="0005527D"/>
    <w:rsid w:val="0005546F"/>
    <w:rsid w:val="00056158"/>
    <w:rsid w:val="0005649B"/>
    <w:rsid w:val="000567D4"/>
    <w:rsid w:val="00056ABC"/>
    <w:rsid w:val="00057AFD"/>
    <w:rsid w:val="00057B16"/>
    <w:rsid w:val="00057FE9"/>
    <w:rsid w:val="00060267"/>
    <w:rsid w:val="000604AF"/>
    <w:rsid w:val="00060BEB"/>
    <w:rsid w:val="00061CE2"/>
    <w:rsid w:val="000626EA"/>
    <w:rsid w:val="00062AA1"/>
    <w:rsid w:val="000631AB"/>
    <w:rsid w:val="00063218"/>
    <w:rsid w:val="000644F3"/>
    <w:rsid w:val="00064ADD"/>
    <w:rsid w:val="000655B1"/>
    <w:rsid w:val="0006665F"/>
    <w:rsid w:val="00066CBE"/>
    <w:rsid w:val="00066DE4"/>
    <w:rsid w:val="0006762F"/>
    <w:rsid w:val="00067B6A"/>
    <w:rsid w:val="00067D84"/>
    <w:rsid w:val="00067D85"/>
    <w:rsid w:val="0007029F"/>
    <w:rsid w:val="000707BB"/>
    <w:rsid w:val="0007126C"/>
    <w:rsid w:val="00071E72"/>
    <w:rsid w:val="00073FAC"/>
    <w:rsid w:val="00074103"/>
    <w:rsid w:val="000742B3"/>
    <w:rsid w:val="00074414"/>
    <w:rsid w:val="00074C11"/>
    <w:rsid w:val="000753C1"/>
    <w:rsid w:val="00075937"/>
    <w:rsid w:val="0007701C"/>
    <w:rsid w:val="00077042"/>
    <w:rsid w:val="000772A7"/>
    <w:rsid w:val="000777E3"/>
    <w:rsid w:val="00077884"/>
    <w:rsid w:val="00080232"/>
    <w:rsid w:val="000802BA"/>
    <w:rsid w:val="00080862"/>
    <w:rsid w:val="00080FD0"/>
    <w:rsid w:val="00082087"/>
    <w:rsid w:val="0008249D"/>
    <w:rsid w:val="00082592"/>
    <w:rsid w:val="000825B9"/>
    <w:rsid w:val="00082821"/>
    <w:rsid w:val="000828E2"/>
    <w:rsid w:val="00083A32"/>
    <w:rsid w:val="000844B7"/>
    <w:rsid w:val="00084A82"/>
    <w:rsid w:val="00085947"/>
    <w:rsid w:val="00085E1F"/>
    <w:rsid w:val="0008652E"/>
    <w:rsid w:val="000867D6"/>
    <w:rsid w:val="000868F1"/>
    <w:rsid w:val="00087BBE"/>
    <w:rsid w:val="000900AC"/>
    <w:rsid w:val="00090942"/>
    <w:rsid w:val="00090989"/>
    <w:rsid w:val="000915B0"/>
    <w:rsid w:val="00091953"/>
    <w:rsid w:val="00092077"/>
    <w:rsid w:val="0009277B"/>
    <w:rsid w:val="00092D8E"/>
    <w:rsid w:val="000936A0"/>
    <w:rsid w:val="0009374A"/>
    <w:rsid w:val="00093877"/>
    <w:rsid w:val="00093985"/>
    <w:rsid w:val="00094E18"/>
    <w:rsid w:val="000950F7"/>
    <w:rsid w:val="00095621"/>
    <w:rsid w:val="00095642"/>
    <w:rsid w:val="00095DBB"/>
    <w:rsid w:val="000964B5"/>
    <w:rsid w:val="00096A66"/>
    <w:rsid w:val="00097661"/>
    <w:rsid w:val="0009776A"/>
    <w:rsid w:val="000A01A2"/>
    <w:rsid w:val="000A01AE"/>
    <w:rsid w:val="000A0406"/>
    <w:rsid w:val="000A099B"/>
    <w:rsid w:val="000A0CFA"/>
    <w:rsid w:val="000A160B"/>
    <w:rsid w:val="000A1691"/>
    <w:rsid w:val="000A1735"/>
    <w:rsid w:val="000A1AE0"/>
    <w:rsid w:val="000A2117"/>
    <w:rsid w:val="000A2577"/>
    <w:rsid w:val="000A2945"/>
    <w:rsid w:val="000A2AFA"/>
    <w:rsid w:val="000A32D2"/>
    <w:rsid w:val="000A4424"/>
    <w:rsid w:val="000A4540"/>
    <w:rsid w:val="000A4545"/>
    <w:rsid w:val="000A4604"/>
    <w:rsid w:val="000A487A"/>
    <w:rsid w:val="000A4A9D"/>
    <w:rsid w:val="000A6477"/>
    <w:rsid w:val="000A74EF"/>
    <w:rsid w:val="000B12E1"/>
    <w:rsid w:val="000B1802"/>
    <w:rsid w:val="000B2335"/>
    <w:rsid w:val="000B24C3"/>
    <w:rsid w:val="000B2E53"/>
    <w:rsid w:val="000B4411"/>
    <w:rsid w:val="000B4655"/>
    <w:rsid w:val="000B46A5"/>
    <w:rsid w:val="000B476F"/>
    <w:rsid w:val="000B4953"/>
    <w:rsid w:val="000B4A06"/>
    <w:rsid w:val="000B4A61"/>
    <w:rsid w:val="000B4F22"/>
    <w:rsid w:val="000B576D"/>
    <w:rsid w:val="000B58A4"/>
    <w:rsid w:val="000B5996"/>
    <w:rsid w:val="000B6B1A"/>
    <w:rsid w:val="000B77EA"/>
    <w:rsid w:val="000B7989"/>
    <w:rsid w:val="000C0C13"/>
    <w:rsid w:val="000C1045"/>
    <w:rsid w:val="000C1059"/>
    <w:rsid w:val="000C121F"/>
    <w:rsid w:val="000C24AF"/>
    <w:rsid w:val="000C2692"/>
    <w:rsid w:val="000C297A"/>
    <w:rsid w:val="000C29C5"/>
    <w:rsid w:val="000C2C77"/>
    <w:rsid w:val="000C2D03"/>
    <w:rsid w:val="000C4495"/>
    <w:rsid w:val="000C4598"/>
    <w:rsid w:val="000C47BC"/>
    <w:rsid w:val="000C4ED8"/>
    <w:rsid w:val="000C5700"/>
    <w:rsid w:val="000C5F84"/>
    <w:rsid w:val="000C6515"/>
    <w:rsid w:val="000C6643"/>
    <w:rsid w:val="000C687D"/>
    <w:rsid w:val="000C6B90"/>
    <w:rsid w:val="000C7908"/>
    <w:rsid w:val="000C7B4B"/>
    <w:rsid w:val="000D034B"/>
    <w:rsid w:val="000D04B0"/>
    <w:rsid w:val="000D0904"/>
    <w:rsid w:val="000D0B0A"/>
    <w:rsid w:val="000D109D"/>
    <w:rsid w:val="000D14A8"/>
    <w:rsid w:val="000D1A80"/>
    <w:rsid w:val="000D1B00"/>
    <w:rsid w:val="000D1B46"/>
    <w:rsid w:val="000D201C"/>
    <w:rsid w:val="000D2865"/>
    <w:rsid w:val="000D28BB"/>
    <w:rsid w:val="000D29B0"/>
    <w:rsid w:val="000D2C2F"/>
    <w:rsid w:val="000D37A1"/>
    <w:rsid w:val="000D3A53"/>
    <w:rsid w:val="000D3CCC"/>
    <w:rsid w:val="000D3EA7"/>
    <w:rsid w:val="000D403F"/>
    <w:rsid w:val="000D4957"/>
    <w:rsid w:val="000D4BF4"/>
    <w:rsid w:val="000D5279"/>
    <w:rsid w:val="000D55FB"/>
    <w:rsid w:val="000D5654"/>
    <w:rsid w:val="000D6116"/>
    <w:rsid w:val="000D6693"/>
    <w:rsid w:val="000D702B"/>
    <w:rsid w:val="000E0326"/>
    <w:rsid w:val="000E03DD"/>
    <w:rsid w:val="000E043B"/>
    <w:rsid w:val="000E0BBD"/>
    <w:rsid w:val="000E0BC6"/>
    <w:rsid w:val="000E18F9"/>
    <w:rsid w:val="000E262B"/>
    <w:rsid w:val="000E26A6"/>
    <w:rsid w:val="000E2997"/>
    <w:rsid w:val="000E2EE3"/>
    <w:rsid w:val="000E339D"/>
    <w:rsid w:val="000E3C08"/>
    <w:rsid w:val="000E3E30"/>
    <w:rsid w:val="000E3F2E"/>
    <w:rsid w:val="000E53A4"/>
    <w:rsid w:val="000E57A7"/>
    <w:rsid w:val="000E5B35"/>
    <w:rsid w:val="000E6081"/>
    <w:rsid w:val="000E6931"/>
    <w:rsid w:val="000E7117"/>
    <w:rsid w:val="000E7201"/>
    <w:rsid w:val="000E7284"/>
    <w:rsid w:val="000F0A39"/>
    <w:rsid w:val="000F10DB"/>
    <w:rsid w:val="000F1440"/>
    <w:rsid w:val="000F14D2"/>
    <w:rsid w:val="000F1512"/>
    <w:rsid w:val="000F1765"/>
    <w:rsid w:val="000F18EC"/>
    <w:rsid w:val="000F1987"/>
    <w:rsid w:val="000F22AA"/>
    <w:rsid w:val="000F2D60"/>
    <w:rsid w:val="000F32D6"/>
    <w:rsid w:val="000F3BB7"/>
    <w:rsid w:val="000F3C27"/>
    <w:rsid w:val="000F3EB9"/>
    <w:rsid w:val="000F4237"/>
    <w:rsid w:val="000F445C"/>
    <w:rsid w:val="000F4C06"/>
    <w:rsid w:val="000F653E"/>
    <w:rsid w:val="000F7156"/>
    <w:rsid w:val="000F7765"/>
    <w:rsid w:val="000F7CC5"/>
    <w:rsid w:val="0010022F"/>
    <w:rsid w:val="0010070A"/>
    <w:rsid w:val="00100768"/>
    <w:rsid w:val="00100EA3"/>
    <w:rsid w:val="0010160F"/>
    <w:rsid w:val="0010174D"/>
    <w:rsid w:val="0010187E"/>
    <w:rsid w:val="0010192E"/>
    <w:rsid w:val="00101C28"/>
    <w:rsid w:val="001020E9"/>
    <w:rsid w:val="001024CE"/>
    <w:rsid w:val="00102A21"/>
    <w:rsid w:val="00103A6A"/>
    <w:rsid w:val="00103B2D"/>
    <w:rsid w:val="00103F4D"/>
    <w:rsid w:val="00104786"/>
    <w:rsid w:val="00104CFD"/>
    <w:rsid w:val="00105463"/>
    <w:rsid w:val="00105D26"/>
    <w:rsid w:val="00105E5E"/>
    <w:rsid w:val="00105E93"/>
    <w:rsid w:val="0010741F"/>
    <w:rsid w:val="0010782D"/>
    <w:rsid w:val="00107FBE"/>
    <w:rsid w:val="00110839"/>
    <w:rsid w:val="0011084B"/>
    <w:rsid w:val="00110F07"/>
    <w:rsid w:val="00111355"/>
    <w:rsid w:val="00112DE0"/>
    <w:rsid w:val="0011324E"/>
    <w:rsid w:val="00113310"/>
    <w:rsid w:val="00113692"/>
    <w:rsid w:val="00113765"/>
    <w:rsid w:val="00114751"/>
    <w:rsid w:val="00114D22"/>
    <w:rsid w:val="0011654A"/>
    <w:rsid w:val="0011672A"/>
    <w:rsid w:val="00116810"/>
    <w:rsid w:val="00116FA9"/>
    <w:rsid w:val="0011708F"/>
    <w:rsid w:val="00117BBF"/>
    <w:rsid w:val="00117CAC"/>
    <w:rsid w:val="0011EE13"/>
    <w:rsid w:val="00120744"/>
    <w:rsid w:val="00120CF6"/>
    <w:rsid w:val="001218F0"/>
    <w:rsid w:val="00121B8F"/>
    <w:rsid w:val="00122091"/>
    <w:rsid w:val="00122988"/>
    <w:rsid w:val="00123DB8"/>
    <w:rsid w:val="001245B2"/>
    <w:rsid w:val="00124C95"/>
    <w:rsid w:val="00124E8C"/>
    <w:rsid w:val="001265AB"/>
    <w:rsid w:val="00126821"/>
    <w:rsid w:val="00126F24"/>
    <w:rsid w:val="00127ED6"/>
    <w:rsid w:val="00130075"/>
    <w:rsid w:val="0013007F"/>
    <w:rsid w:val="00130087"/>
    <w:rsid w:val="00131A43"/>
    <w:rsid w:val="00131A6B"/>
    <w:rsid w:val="001328C4"/>
    <w:rsid w:val="00133EC6"/>
    <w:rsid w:val="001350BD"/>
    <w:rsid w:val="00135434"/>
    <w:rsid w:val="00135778"/>
    <w:rsid w:val="00135A4D"/>
    <w:rsid w:val="00135EE3"/>
    <w:rsid w:val="00135F6F"/>
    <w:rsid w:val="00136A8F"/>
    <w:rsid w:val="00136BD0"/>
    <w:rsid w:val="0013722C"/>
    <w:rsid w:val="00137365"/>
    <w:rsid w:val="001379D8"/>
    <w:rsid w:val="001401BF"/>
    <w:rsid w:val="00141A3C"/>
    <w:rsid w:val="001421AB"/>
    <w:rsid w:val="00142336"/>
    <w:rsid w:val="00142C54"/>
    <w:rsid w:val="001433C6"/>
    <w:rsid w:val="001435C1"/>
    <w:rsid w:val="001439C6"/>
    <w:rsid w:val="00143DD5"/>
    <w:rsid w:val="001450DA"/>
    <w:rsid w:val="0014526C"/>
    <w:rsid w:val="00145F89"/>
    <w:rsid w:val="001468D2"/>
    <w:rsid w:val="00146A33"/>
    <w:rsid w:val="00146F8D"/>
    <w:rsid w:val="001479C8"/>
    <w:rsid w:val="00147A98"/>
    <w:rsid w:val="0015161F"/>
    <w:rsid w:val="00151B83"/>
    <w:rsid w:val="0015211A"/>
    <w:rsid w:val="00152493"/>
    <w:rsid w:val="00152E51"/>
    <w:rsid w:val="00152E77"/>
    <w:rsid w:val="00153265"/>
    <w:rsid w:val="00154816"/>
    <w:rsid w:val="00154A54"/>
    <w:rsid w:val="00155659"/>
    <w:rsid w:val="00155AB9"/>
    <w:rsid w:val="00156534"/>
    <w:rsid w:val="001565B8"/>
    <w:rsid w:val="001576B8"/>
    <w:rsid w:val="00157730"/>
    <w:rsid w:val="00157931"/>
    <w:rsid w:val="0015796D"/>
    <w:rsid w:val="00157C1C"/>
    <w:rsid w:val="00157DF2"/>
    <w:rsid w:val="00157E99"/>
    <w:rsid w:val="00157F52"/>
    <w:rsid w:val="00160039"/>
    <w:rsid w:val="00160098"/>
    <w:rsid w:val="0016082B"/>
    <w:rsid w:val="00160E70"/>
    <w:rsid w:val="00161428"/>
    <w:rsid w:val="00161807"/>
    <w:rsid w:val="00162661"/>
    <w:rsid w:val="00162C77"/>
    <w:rsid w:val="00162FE6"/>
    <w:rsid w:val="0016331A"/>
    <w:rsid w:val="00163390"/>
    <w:rsid w:val="001641E0"/>
    <w:rsid w:val="00164338"/>
    <w:rsid w:val="00164768"/>
    <w:rsid w:val="001657A4"/>
    <w:rsid w:val="0016621B"/>
    <w:rsid w:val="0016642E"/>
    <w:rsid w:val="00166511"/>
    <w:rsid w:val="001669F2"/>
    <w:rsid w:val="00167379"/>
    <w:rsid w:val="001679EF"/>
    <w:rsid w:val="00170197"/>
    <w:rsid w:val="00170B1E"/>
    <w:rsid w:val="00170C2F"/>
    <w:rsid w:val="00170DCB"/>
    <w:rsid w:val="00170F06"/>
    <w:rsid w:val="001714B6"/>
    <w:rsid w:val="001714EA"/>
    <w:rsid w:val="001715F4"/>
    <w:rsid w:val="00172583"/>
    <w:rsid w:val="001727A4"/>
    <w:rsid w:val="00173B6F"/>
    <w:rsid w:val="00173F56"/>
    <w:rsid w:val="0017546B"/>
    <w:rsid w:val="00175953"/>
    <w:rsid w:val="00175AE5"/>
    <w:rsid w:val="0017601D"/>
    <w:rsid w:val="00176023"/>
    <w:rsid w:val="00176A6C"/>
    <w:rsid w:val="00180227"/>
    <w:rsid w:val="00180849"/>
    <w:rsid w:val="00181343"/>
    <w:rsid w:val="00181BD3"/>
    <w:rsid w:val="00181C20"/>
    <w:rsid w:val="00182021"/>
    <w:rsid w:val="0018284C"/>
    <w:rsid w:val="001831D1"/>
    <w:rsid w:val="001832BE"/>
    <w:rsid w:val="001843FA"/>
    <w:rsid w:val="0018562C"/>
    <w:rsid w:val="00185EAC"/>
    <w:rsid w:val="00186126"/>
    <w:rsid w:val="001870CC"/>
    <w:rsid w:val="00187457"/>
    <w:rsid w:val="00187545"/>
    <w:rsid w:val="00187738"/>
    <w:rsid w:val="0019006F"/>
    <w:rsid w:val="00190409"/>
    <w:rsid w:val="001906D2"/>
    <w:rsid w:val="001906E8"/>
    <w:rsid w:val="0019081C"/>
    <w:rsid w:val="00190B43"/>
    <w:rsid w:val="00190CD5"/>
    <w:rsid w:val="00190D3C"/>
    <w:rsid w:val="00191257"/>
    <w:rsid w:val="001912D8"/>
    <w:rsid w:val="00191385"/>
    <w:rsid w:val="00191C91"/>
    <w:rsid w:val="00191D91"/>
    <w:rsid w:val="001923F3"/>
    <w:rsid w:val="001930E7"/>
    <w:rsid w:val="00193408"/>
    <w:rsid w:val="0019384C"/>
    <w:rsid w:val="00194341"/>
    <w:rsid w:val="001949F6"/>
    <w:rsid w:val="00195167"/>
    <w:rsid w:val="001957E0"/>
    <w:rsid w:val="00197B41"/>
    <w:rsid w:val="00197BCA"/>
    <w:rsid w:val="00197DDD"/>
    <w:rsid w:val="00197E1B"/>
    <w:rsid w:val="001A07AD"/>
    <w:rsid w:val="001A0854"/>
    <w:rsid w:val="001A13F7"/>
    <w:rsid w:val="001A1424"/>
    <w:rsid w:val="001A1B84"/>
    <w:rsid w:val="001A1F5C"/>
    <w:rsid w:val="001A294C"/>
    <w:rsid w:val="001A307A"/>
    <w:rsid w:val="001A31A3"/>
    <w:rsid w:val="001A338F"/>
    <w:rsid w:val="001A3945"/>
    <w:rsid w:val="001A3BBB"/>
    <w:rsid w:val="001A54B5"/>
    <w:rsid w:val="001A6DA8"/>
    <w:rsid w:val="001A6E21"/>
    <w:rsid w:val="001A7040"/>
    <w:rsid w:val="001A77F0"/>
    <w:rsid w:val="001A7E4C"/>
    <w:rsid w:val="001B01C0"/>
    <w:rsid w:val="001B12A8"/>
    <w:rsid w:val="001B1655"/>
    <w:rsid w:val="001B1853"/>
    <w:rsid w:val="001B234E"/>
    <w:rsid w:val="001B23A7"/>
    <w:rsid w:val="001B277E"/>
    <w:rsid w:val="001B3306"/>
    <w:rsid w:val="001B38F9"/>
    <w:rsid w:val="001B4474"/>
    <w:rsid w:val="001B4726"/>
    <w:rsid w:val="001B4A58"/>
    <w:rsid w:val="001B4F92"/>
    <w:rsid w:val="001B5049"/>
    <w:rsid w:val="001B50FC"/>
    <w:rsid w:val="001B582E"/>
    <w:rsid w:val="001B5D0A"/>
    <w:rsid w:val="001B6FE3"/>
    <w:rsid w:val="001B7123"/>
    <w:rsid w:val="001B72E9"/>
    <w:rsid w:val="001B7447"/>
    <w:rsid w:val="001C010D"/>
    <w:rsid w:val="001C1024"/>
    <w:rsid w:val="001C1A6B"/>
    <w:rsid w:val="001C23BB"/>
    <w:rsid w:val="001C3163"/>
    <w:rsid w:val="001C339E"/>
    <w:rsid w:val="001C34E3"/>
    <w:rsid w:val="001C3565"/>
    <w:rsid w:val="001C4097"/>
    <w:rsid w:val="001C443A"/>
    <w:rsid w:val="001C4561"/>
    <w:rsid w:val="001C480C"/>
    <w:rsid w:val="001C4905"/>
    <w:rsid w:val="001C4D5B"/>
    <w:rsid w:val="001C5EB0"/>
    <w:rsid w:val="001C5F82"/>
    <w:rsid w:val="001C6080"/>
    <w:rsid w:val="001C6937"/>
    <w:rsid w:val="001C6A77"/>
    <w:rsid w:val="001C6EEB"/>
    <w:rsid w:val="001C7401"/>
    <w:rsid w:val="001C7CD9"/>
    <w:rsid w:val="001D156D"/>
    <w:rsid w:val="001D2026"/>
    <w:rsid w:val="001D2269"/>
    <w:rsid w:val="001D243C"/>
    <w:rsid w:val="001D3FDE"/>
    <w:rsid w:val="001D41E2"/>
    <w:rsid w:val="001D49F9"/>
    <w:rsid w:val="001D6160"/>
    <w:rsid w:val="001D62B6"/>
    <w:rsid w:val="001D7F16"/>
    <w:rsid w:val="001D7F37"/>
    <w:rsid w:val="001E01E1"/>
    <w:rsid w:val="001E05C9"/>
    <w:rsid w:val="001E0AF6"/>
    <w:rsid w:val="001E0FC3"/>
    <w:rsid w:val="001E1B5C"/>
    <w:rsid w:val="001E1C49"/>
    <w:rsid w:val="001E2654"/>
    <w:rsid w:val="001E329C"/>
    <w:rsid w:val="001E363D"/>
    <w:rsid w:val="001E370D"/>
    <w:rsid w:val="001E4079"/>
    <w:rsid w:val="001E4B4A"/>
    <w:rsid w:val="001E4FD6"/>
    <w:rsid w:val="001E51BB"/>
    <w:rsid w:val="001E5FD2"/>
    <w:rsid w:val="001E6109"/>
    <w:rsid w:val="001E65DC"/>
    <w:rsid w:val="001E6DC0"/>
    <w:rsid w:val="001E6ED2"/>
    <w:rsid w:val="001E780F"/>
    <w:rsid w:val="001E7B6E"/>
    <w:rsid w:val="001E7E80"/>
    <w:rsid w:val="001F0760"/>
    <w:rsid w:val="001F0E83"/>
    <w:rsid w:val="001F14E9"/>
    <w:rsid w:val="001F1A14"/>
    <w:rsid w:val="001F207E"/>
    <w:rsid w:val="001F2C3C"/>
    <w:rsid w:val="001F2DEB"/>
    <w:rsid w:val="001F2F2C"/>
    <w:rsid w:val="001F3126"/>
    <w:rsid w:val="001F3382"/>
    <w:rsid w:val="001F34DD"/>
    <w:rsid w:val="001F34EF"/>
    <w:rsid w:val="001F3D6C"/>
    <w:rsid w:val="001F3DCD"/>
    <w:rsid w:val="001F3E9C"/>
    <w:rsid w:val="001F40F9"/>
    <w:rsid w:val="001F4159"/>
    <w:rsid w:val="001F4320"/>
    <w:rsid w:val="001F49F5"/>
    <w:rsid w:val="001F4F3D"/>
    <w:rsid w:val="001F5448"/>
    <w:rsid w:val="001F5AF0"/>
    <w:rsid w:val="001F5CD7"/>
    <w:rsid w:val="001F607B"/>
    <w:rsid w:val="001F67A4"/>
    <w:rsid w:val="001F691D"/>
    <w:rsid w:val="001F6A96"/>
    <w:rsid w:val="001F6D3D"/>
    <w:rsid w:val="001F6D94"/>
    <w:rsid w:val="001F6E9B"/>
    <w:rsid w:val="001F74FD"/>
    <w:rsid w:val="001F7E02"/>
    <w:rsid w:val="001F7E47"/>
    <w:rsid w:val="00200198"/>
    <w:rsid w:val="002002C2"/>
    <w:rsid w:val="00200827"/>
    <w:rsid w:val="00200B32"/>
    <w:rsid w:val="00201F48"/>
    <w:rsid w:val="002029CF"/>
    <w:rsid w:val="00202B40"/>
    <w:rsid w:val="00202C7D"/>
    <w:rsid w:val="00202EB6"/>
    <w:rsid w:val="002034E4"/>
    <w:rsid w:val="00203547"/>
    <w:rsid w:val="00204D4D"/>
    <w:rsid w:val="00204FB5"/>
    <w:rsid w:val="002054DF"/>
    <w:rsid w:val="00205D7C"/>
    <w:rsid w:val="002062FE"/>
    <w:rsid w:val="00206774"/>
    <w:rsid w:val="002068F9"/>
    <w:rsid w:val="00207325"/>
    <w:rsid w:val="002076DD"/>
    <w:rsid w:val="002077EE"/>
    <w:rsid w:val="00207987"/>
    <w:rsid w:val="00207D86"/>
    <w:rsid w:val="00207EC3"/>
    <w:rsid w:val="0021044F"/>
    <w:rsid w:val="00210EAB"/>
    <w:rsid w:val="00211146"/>
    <w:rsid w:val="00211A4A"/>
    <w:rsid w:val="00212371"/>
    <w:rsid w:val="00212668"/>
    <w:rsid w:val="002129F7"/>
    <w:rsid w:val="00213E7D"/>
    <w:rsid w:val="00214561"/>
    <w:rsid w:val="00215233"/>
    <w:rsid w:val="0021556E"/>
    <w:rsid w:val="0021615B"/>
    <w:rsid w:val="00216AB0"/>
    <w:rsid w:val="0021717F"/>
    <w:rsid w:val="002172CA"/>
    <w:rsid w:val="00217876"/>
    <w:rsid w:val="00220B3E"/>
    <w:rsid w:val="00221F38"/>
    <w:rsid w:val="00222C46"/>
    <w:rsid w:val="00222D25"/>
    <w:rsid w:val="002231FB"/>
    <w:rsid w:val="00224425"/>
    <w:rsid w:val="00224503"/>
    <w:rsid w:val="0022460A"/>
    <w:rsid w:val="00224719"/>
    <w:rsid w:val="00224885"/>
    <w:rsid w:val="0022617E"/>
    <w:rsid w:val="00226233"/>
    <w:rsid w:val="00230738"/>
    <w:rsid w:val="00231303"/>
    <w:rsid w:val="002313E7"/>
    <w:rsid w:val="00231753"/>
    <w:rsid w:val="00231B94"/>
    <w:rsid w:val="00231F73"/>
    <w:rsid w:val="00232624"/>
    <w:rsid w:val="00232D20"/>
    <w:rsid w:val="00232DF0"/>
    <w:rsid w:val="002331A2"/>
    <w:rsid w:val="00233680"/>
    <w:rsid w:val="002337D6"/>
    <w:rsid w:val="00233967"/>
    <w:rsid w:val="00234254"/>
    <w:rsid w:val="002355A2"/>
    <w:rsid w:val="002355B2"/>
    <w:rsid w:val="002355C4"/>
    <w:rsid w:val="00235C72"/>
    <w:rsid w:val="00236673"/>
    <w:rsid w:val="0023667F"/>
    <w:rsid w:val="00237316"/>
    <w:rsid w:val="00237394"/>
    <w:rsid w:val="002379DE"/>
    <w:rsid w:val="00237C5F"/>
    <w:rsid w:val="00237CD2"/>
    <w:rsid w:val="00237E6C"/>
    <w:rsid w:val="00237ED1"/>
    <w:rsid w:val="00237F37"/>
    <w:rsid w:val="002402B4"/>
    <w:rsid w:val="002403B9"/>
    <w:rsid w:val="00240900"/>
    <w:rsid w:val="00240FE4"/>
    <w:rsid w:val="0024113E"/>
    <w:rsid w:val="0024189D"/>
    <w:rsid w:val="00241969"/>
    <w:rsid w:val="00242737"/>
    <w:rsid w:val="00242B92"/>
    <w:rsid w:val="00242D45"/>
    <w:rsid w:val="002435E6"/>
    <w:rsid w:val="00243B42"/>
    <w:rsid w:val="00244D5B"/>
    <w:rsid w:val="00244E42"/>
    <w:rsid w:val="00244F4E"/>
    <w:rsid w:val="00245285"/>
    <w:rsid w:val="002452E1"/>
    <w:rsid w:val="0024590D"/>
    <w:rsid w:val="00245966"/>
    <w:rsid w:val="00245E5F"/>
    <w:rsid w:val="00245EA3"/>
    <w:rsid w:val="00245F07"/>
    <w:rsid w:val="002463D8"/>
    <w:rsid w:val="0024658C"/>
    <w:rsid w:val="002465E5"/>
    <w:rsid w:val="00246AA1"/>
    <w:rsid w:val="00247A70"/>
    <w:rsid w:val="00250547"/>
    <w:rsid w:val="00250578"/>
    <w:rsid w:val="0025068D"/>
    <w:rsid w:val="00250900"/>
    <w:rsid w:val="00250A6E"/>
    <w:rsid w:val="00250C96"/>
    <w:rsid w:val="00251A34"/>
    <w:rsid w:val="00251B81"/>
    <w:rsid w:val="00251D8D"/>
    <w:rsid w:val="00252509"/>
    <w:rsid w:val="002525E8"/>
    <w:rsid w:val="00252FFB"/>
    <w:rsid w:val="00254035"/>
    <w:rsid w:val="00254BB0"/>
    <w:rsid w:val="00254D0C"/>
    <w:rsid w:val="00254EDD"/>
    <w:rsid w:val="00255354"/>
    <w:rsid w:val="0025644D"/>
    <w:rsid w:val="002568A9"/>
    <w:rsid w:val="002570D3"/>
    <w:rsid w:val="00260127"/>
    <w:rsid w:val="00262040"/>
    <w:rsid w:val="0026272C"/>
    <w:rsid w:val="00262893"/>
    <w:rsid w:val="00262A7F"/>
    <w:rsid w:val="0026306E"/>
    <w:rsid w:val="00263255"/>
    <w:rsid w:val="00263A1A"/>
    <w:rsid w:val="0026434E"/>
    <w:rsid w:val="00264475"/>
    <w:rsid w:val="00264BFF"/>
    <w:rsid w:val="00264F24"/>
    <w:rsid w:val="00264FAB"/>
    <w:rsid w:val="00265C7B"/>
    <w:rsid w:val="00266331"/>
    <w:rsid w:val="00266938"/>
    <w:rsid w:val="00266AD4"/>
    <w:rsid w:val="00266FDD"/>
    <w:rsid w:val="002675FD"/>
    <w:rsid w:val="002677B1"/>
    <w:rsid w:val="00267F06"/>
    <w:rsid w:val="00270151"/>
    <w:rsid w:val="00271394"/>
    <w:rsid w:val="00271D13"/>
    <w:rsid w:val="00271F1C"/>
    <w:rsid w:val="002721BF"/>
    <w:rsid w:val="002725A4"/>
    <w:rsid w:val="00272713"/>
    <w:rsid w:val="00272C4C"/>
    <w:rsid w:val="00272D01"/>
    <w:rsid w:val="00272D3F"/>
    <w:rsid w:val="00272F3F"/>
    <w:rsid w:val="00273525"/>
    <w:rsid w:val="002739BC"/>
    <w:rsid w:val="00274159"/>
    <w:rsid w:val="002742ED"/>
    <w:rsid w:val="00274C2E"/>
    <w:rsid w:val="00274F95"/>
    <w:rsid w:val="00275009"/>
    <w:rsid w:val="0027599B"/>
    <w:rsid w:val="00276509"/>
    <w:rsid w:val="002769FD"/>
    <w:rsid w:val="00277B3D"/>
    <w:rsid w:val="002803D7"/>
    <w:rsid w:val="002805DB"/>
    <w:rsid w:val="00280B2A"/>
    <w:rsid w:val="00281189"/>
    <w:rsid w:val="00281CC4"/>
    <w:rsid w:val="00282B6C"/>
    <w:rsid w:val="00282C1C"/>
    <w:rsid w:val="00282E16"/>
    <w:rsid w:val="00282E7B"/>
    <w:rsid w:val="00283244"/>
    <w:rsid w:val="00283A1C"/>
    <w:rsid w:val="00284C82"/>
    <w:rsid w:val="00284F08"/>
    <w:rsid w:val="00285061"/>
    <w:rsid w:val="00285A99"/>
    <w:rsid w:val="00285CAD"/>
    <w:rsid w:val="002868F2"/>
    <w:rsid w:val="00286F2C"/>
    <w:rsid w:val="0028713B"/>
    <w:rsid w:val="002871BE"/>
    <w:rsid w:val="00287D76"/>
    <w:rsid w:val="0029009A"/>
    <w:rsid w:val="002906DA"/>
    <w:rsid w:val="002909DC"/>
    <w:rsid w:val="00291329"/>
    <w:rsid w:val="002913A2"/>
    <w:rsid w:val="002913FB"/>
    <w:rsid w:val="0029143C"/>
    <w:rsid w:val="002917CF"/>
    <w:rsid w:val="00291F11"/>
    <w:rsid w:val="00291F72"/>
    <w:rsid w:val="00292422"/>
    <w:rsid w:val="00292ADD"/>
    <w:rsid w:val="00292B33"/>
    <w:rsid w:val="00293C19"/>
    <w:rsid w:val="00293C5B"/>
    <w:rsid w:val="00293DE7"/>
    <w:rsid w:val="00293E3D"/>
    <w:rsid w:val="00294648"/>
    <w:rsid w:val="00294920"/>
    <w:rsid w:val="002959C0"/>
    <w:rsid w:val="00296047"/>
    <w:rsid w:val="0029619C"/>
    <w:rsid w:val="002968C9"/>
    <w:rsid w:val="00296B14"/>
    <w:rsid w:val="00296FF3"/>
    <w:rsid w:val="002971F1"/>
    <w:rsid w:val="002A0B13"/>
    <w:rsid w:val="002A0D64"/>
    <w:rsid w:val="002A1079"/>
    <w:rsid w:val="002A17D2"/>
    <w:rsid w:val="002A2988"/>
    <w:rsid w:val="002A29E7"/>
    <w:rsid w:val="002A2C58"/>
    <w:rsid w:val="002A3807"/>
    <w:rsid w:val="002A3BFF"/>
    <w:rsid w:val="002A3C8F"/>
    <w:rsid w:val="002A3D39"/>
    <w:rsid w:val="002A41C4"/>
    <w:rsid w:val="002A43E4"/>
    <w:rsid w:val="002A4E55"/>
    <w:rsid w:val="002A5C67"/>
    <w:rsid w:val="002A5C84"/>
    <w:rsid w:val="002A6252"/>
    <w:rsid w:val="002A6C06"/>
    <w:rsid w:val="002A7B34"/>
    <w:rsid w:val="002B02B6"/>
    <w:rsid w:val="002B02CF"/>
    <w:rsid w:val="002B09AB"/>
    <w:rsid w:val="002B0A9F"/>
    <w:rsid w:val="002B0E90"/>
    <w:rsid w:val="002B1334"/>
    <w:rsid w:val="002B15DC"/>
    <w:rsid w:val="002B16F0"/>
    <w:rsid w:val="002B22FB"/>
    <w:rsid w:val="002B2579"/>
    <w:rsid w:val="002B345A"/>
    <w:rsid w:val="002B36B7"/>
    <w:rsid w:val="002B3C26"/>
    <w:rsid w:val="002B4255"/>
    <w:rsid w:val="002B45E7"/>
    <w:rsid w:val="002B4982"/>
    <w:rsid w:val="002B4BA4"/>
    <w:rsid w:val="002B50F7"/>
    <w:rsid w:val="002B5461"/>
    <w:rsid w:val="002B5800"/>
    <w:rsid w:val="002B59F4"/>
    <w:rsid w:val="002B5B7E"/>
    <w:rsid w:val="002B6B28"/>
    <w:rsid w:val="002B6E31"/>
    <w:rsid w:val="002B6F01"/>
    <w:rsid w:val="002B7718"/>
    <w:rsid w:val="002B783C"/>
    <w:rsid w:val="002C0243"/>
    <w:rsid w:val="002C1383"/>
    <w:rsid w:val="002C18BA"/>
    <w:rsid w:val="002C3783"/>
    <w:rsid w:val="002C41E0"/>
    <w:rsid w:val="002C4238"/>
    <w:rsid w:val="002C448E"/>
    <w:rsid w:val="002C44CE"/>
    <w:rsid w:val="002C4AA3"/>
    <w:rsid w:val="002C4EE9"/>
    <w:rsid w:val="002C55DA"/>
    <w:rsid w:val="002C55DF"/>
    <w:rsid w:val="002C5E4E"/>
    <w:rsid w:val="002C5E91"/>
    <w:rsid w:val="002C630F"/>
    <w:rsid w:val="002C6CB2"/>
    <w:rsid w:val="002C747C"/>
    <w:rsid w:val="002C762F"/>
    <w:rsid w:val="002C7FE8"/>
    <w:rsid w:val="002D024B"/>
    <w:rsid w:val="002D0752"/>
    <w:rsid w:val="002D0F4B"/>
    <w:rsid w:val="002D0F9A"/>
    <w:rsid w:val="002D1BDB"/>
    <w:rsid w:val="002D1FFD"/>
    <w:rsid w:val="002D22F5"/>
    <w:rsid w:val="002D231E"/>
    <w:rsid w:val="002D371B"/>
    <w:rsid w:val="002D38C2"/>
    <w:rsid w:val="002D3A33"/>
    <w:rsid w:val="002D3DAE"/>
    <w:rsid w:val="002D4155"/>
    <w:rsid w:val="002D41B8"/>
    <w:rsid w:val="002D41BB"/>
    <w:rsid w:val="002D46AF"/>
    <w:rsid w:val="002D46EE"/>
    <w:rsid w:val="002D487F"/>
    <w:rsid w:val="002D529F"/>
    <w:rsid w:val="002D5A65"/>
    <w:rsid w:val="002D638B"/>
    <w:rsid w:val="002D644F"/>
    <w:rsid w:val="002D6D84"/>
    <w:rsid w:val="002D7D42"/>
    <w:rsid w:val="002E081D"/>
    <w:rsid w:val="002E15A8"/>
    <w:rsid w:val="002E1683"/>
    <w:rsid w:val="002E1A8A"/>
    <w:rsid w:val="002E2A31"/>
    <w:rsid w:val="002E2F0A"/>
    <w:rsid w:val="002E302D"/>
    <w:rsid w:val="002E3639"/>
    <w:rsid w:val="002E417A"/>
    <w:rsid w:val="002E41FC"/>
    <w:rsid w:val="002E4DBA"/>
    <w:rsid w:val="002E526A"/>
    <w:rsid w:val="002E57AA"/>
    <w:rsid w:val="002E5AB6"/>
    <w:rsid w:val="002E5E74"/>
    <w:rsid w:val="002E6DC8"/>
    <w:rsid w:val="002E743C"/>
    <w:rsid w:val="002E75E0"/>
    <w:rsid w:val="002E78D9"/>
    <w:rsid w:val="002F0A03"/>
    <w:rsid w:val="002F252A"/>
    <w:rsid w:val="002F2889"/>
    <w:rsid w:val="002F2AAE"/>
    <w:rsid w:val="002F2BCC"/>
    <w:rsid w:val="002F2CEA"/>
    <w:rsid w:val="002F37C7"/>
    <w:rsid w:val="002F39A9"/>
    <w:rsid w:val="002F4668"/>
    <w:rsid w:val="002F6AA4"/>
    <w:rsid w:val="002F6EB1"/>
    <w:rsid w:val="002F6FB1"/>
    <w:rsid w:val="002F7585"/>
    <w:rsid w:val="002F783E"/>
    <w:rsid w:val="002F7A0B"/>
    <w:rsid w:val="002F7C88"/>
    <w:rsid w:val="002F7C98"/>
    <w:rsid w:val="00300056"/>
    <w:rsid w:val="0030012E"/>
    <w:rsid w:val="00300229"/>
    <w:rsid w:val="00300BA3"/>
    <w:rsid w:val="00301D34"/>
    <w:rsid w:val="003029F7"/>
    <w:rsid w:val="00302BEC"/>
    <w:rsid w:val="00303AA4"/>
    <w:rsid w:val="00303BB1"/>
    <w:rsid w:val="003054C2"/>
    <w:rsid w:val="0030561D"/>
    <w:rsid w:val="0030642E"/>
    <w:rsid w:val="00307EC1"/>
    <w:rsid w:val="00310A45"/>
    <w:rsid w:val="00310C2C"/>
    <w:rsid w:val="00311036"/>
    <w:rsid w:val="00311446"/>
    <w:rsid w:val="00313FB5"/>
    <w:rsid w:val="0031489E"/>
    <w:rsid w:val="0031549D"/>
    <w:rsid w:val="003154DB"/>
    <w:rsid w:val="003159A9"/>
    <w:rsid w:val="00315F79"/>
    <w:rsid w:val="00316217"/>
    <w:rsid w:val="00316306"/>
    <w:rsid w:val="00316A42"/>
    <w:rsid w:val="0031708F"/>
    <w:rsid w:val="003176E7"/>
    <w:rsid w:val="00317897"/>
    <w:rsid w:val="0031797A"/>
    <w:rsid w:val="00317B2E"/>
    <w:rsid w:val="00320526"/>
    <w:rsid w:val="00321F35"/>
    <w:rsid w:val="0032217D"/>
    <w:rsid w:val="003227EC"/>
    <w:rsid w:val="00322D0E"/>
    <w:rsid w:val="00323E6A"/>
    <w:rsid w:val="0032496C"/>
    <w:rsid w:val="003251C0"/>
    <w:rsid w:val="003255A8"/>
    <w:rsid w:val="00325678"/>
    <w:rsid w:val="00325BF2"/>
    <w:rsid w:val="00326C4D"/>
    <w:rsid w:val="00327557"/>
    <w:rsid w:val="00327CE6"/>
    <w:rsid w:val="0033002E"/>
    <w:rsid w:val="00330933"/>
    <w:rsid w:val="0033124B"/>
    <w:rsid w:val="00331304"/>
    <w:rsid w:val="0033134E"/>
    <w:rsid w:val="00331A85"/>
    <w:rsid w:val="00331AAE"/>
    <w:rsid w:val="00331BF8"/>
    <w:rsid w:val="00331FE5"/>
    <w:rsid w:val="00332721"/>
    <w:rsid w:val="003327F2"/>
    <w:rsid w:val="00332A09"/>
    <w:rsid w:val="0033380C"/>
    <w:rsid w:val="00333DF6"/>
    <w:rsid w:val="00333E29"/>
    <w:rsid w:val="00333FA3"/>
    <w:rsid w:val="003341E8"/>
    <w:rsid w:val="00335152"/>
    <w:rsid w:val="003351D8"/>
    <w:rsid w:val="0033543F"/>
    <w:rsid w:val="00335AD4"/>
    <w:rsid w:val="00336B5B"/>
    <w:rsid w:val="0033704A"/>
    <w:rsid w:val="0033715E"/>
    <w:rsid w:val="00337B3B"/>
    <w:rsid w:val="003401A7"/>
    <w:rsid w:val="00340A75"/>
    <w:rsid w:val="00340BB8"/>
    <w:rsid w:val="00340C66"/>
    <w:rsid w:val="00340CDC"/>
    <w:rsid w:val="00340D0F"/>
    <w:rsid w:val="0034117B"/>
    <w:rsid w:val="003414F2"/>
    <w:rsid w:val="0034157E"/>
    <w:rsid w:val="003417DA"/>
    <w:rsid w:val="00342077"/>
    <w:rsid w:val="00342756"/>
    <w:rsid w:val="0034290B"/>
    <w:rsid w:val="00342C1F"/>
    <w:rsid w:val="00342CBF"/>
    <w:rsid w:val="00342F16"/>
    <w:rsid w:val="00343026"/>
    <w:rsid w:val="00343701"/>
    <w:rsid w:val="00343D2B"/>
    <w:rsid w:val="00343D97"/>
    <w:rsid w:val="00343F1B"/>
    <w:rsid w:val="003441AF"/>
    <w:rsid w:val="00344D5F"/>
    <w:rsid w:val="00344DB0"/>
    <w:rsid w:val="00345881"/>
    <w:rsid w:val="00346003"/>
    <w:rsid w:val="00346301"/>
    <w:rsid w:val="003463FC"/>
    <w:rsid w:val="0034762A"/>
    <w:rsid w:val="00347949"/>
    <w:rsid w:val="00351ADE"/>
    <w:rsid w:val="00352B94"/>
    <w:rsid w:val="00352C13"/>
    <w:rsid w:val="00352DF7"/>
    <w:rsid w:val="00352E94"/>
    <w:rsid w:val="00353CBA"/>
    <w:rsid w:val="00353E1A"/>
    <w:rsid w:val="00354549"/>
    <w:rsid w:val="00354CF9"/>
    <w:rsid w:val="0035536F"/>
    <w:rsid w:val="00355383"/>
    <w:rsid w:val="00355DB6"/>
    <w:rsid w:val="00356528"/>
    <w:rsid w:val="00356707"/>
    <w:rsid w:val="00356994"/>
    <w:rsid w:val="00356C19"/>
    <w:rsid w:val="003576B4"/>
    <w:rsid w:val="00360914"/>
    <w:rsid w:val="00360C37"/>
    <w:rsid w:val="00360F31"/>
    <w:rsid w:val="003619E0"/>
    <w:rsid w:val="00362092"/>
    <w:rsid w:val="00362201"/>
    <w:rsid w:val="0036283D"/>
    <w:rsid w:val="00362D56"/>
    <w:rsid w:val="0036390F"/>
    <w:rsid w:val="00364009"/>
    <w:rsid w:val="00364139"/>
    <w:rsid w:val="00364167"/>
    <w:rsid w:val="003647D4"/>
    <w:rsid w:val="0036512F"/>
    <w:rsid w:val="0036755B"/>
    <w:rsid w:val="003675CF"/>
    <w:rsid w:val="00367E17"/>
    <w:rsid w:val="003702C5"/>
    <w:rsid w:val="00370B06"/>
    <w:rsid w:val="00371099"/>
    <w:rsid w:val="00371579"/>
    <w:rsid w:val="00371D93"/>
    <w:rsid w:val="003727BD"/>
    <w:rsid w:val="003731F9"/>
    <w:rsid w:val="003735D8"/>
    <w:rsid w:val="0037380C"/>
    <w:rsid w:val="00373B36"/>
    <w:rsid w:val="00373CC2"/>
    <w:rsid w:val="00374D66"/>
    <w:rsid w:val="00374D79"/>
    <w:rsid w:val="003758CC"/>
    <w:rsid w:val="00375AB9"/>
    <w:rsid w:val="00376403"/>
    <w:rsid w:val="00376797"/>
    <w:rsid w:val="003773C7"/>
    <w:rsid w:val="00377A75"/>
    <w:rsid w:val="00377B8B"/>
    <w:rsid w:val="00377D8F"/>
    <w:rsid w:val="00377FDD"/>
    <w:rsid w:val="003810A7"/>
    <w:rsid w:val="003811FD"/>
    <w:rsid w:val="003820B7"/>
    <w:rsid w:val="00382905"/>
    <w:rsid w:val="00382E1E"/>
    <w:rsid w:val="00383A76"/>
    <w:rsid w:val="00383BB5"/>
    <w:rsid w:val="00383C27"/>
    <w:rsid w:val="00383E0F"/>
    <w:rsid w:val="003842D3"/>
    <w:rsid w:val="003846BE"/>
    <w:rsid w:val="00384B0E"/>
    <w:rsid w:val="00384F55"/>
    <w:rsid w:val="00386957"/>
    <w:rsid w:val="00386E64"/>
    <w:rsid w:val="00387B03"/>
    <w:rsid w:val="00387E69"/>
    <w:rsid w:val="003912AA"/>
    <w:rsid w:val="0039182A"/>
    <w:rsid w:val="0039198E"/>
    <w:rsid w:val="00392246"/>
    <w:rsid w:val="0039343E"/>
    <w:rsid w:val="0039344E"/>
    <w:rsid w:val="00393632"/>
    <w:rsid w:val="00394022"/>
    <w:rsid w:val="0039416B"/>
    <w:rsid w:val="0039433B"/>
    <w:rsid w:val="00394BBE"/>
    <w:rsid w:val="00395D3E"/>
    <w:rsid w:val="00395F45"/>
    <w:rsid w:val="003965B8"/>
    <w:rsid w:val="00396744"/>
    <w:rsid w:val="003974EA"/>
    <w:rsid w:val="00397DF8"/>
    <w:rsid w:val="003A0961"/>
    <w:rsid w:val="003A0D74"/>
    <w:rsid w:val="003A103B"/>
    <w:rsid w:val="003A1661"/>
    <w:rsid w:val="003A1A6A"/>
    <w:rsid w:val="003A1BCB"/>
    <w:rsid w:val="003A1CA7"/>
    <w:rsid w:val="003A1FDD"/>
    <w:rsid w:val="003A21DC"/>
    <w:rsid w:val="003A2899"/>
    <w:rsid w:val="003A4044"/>
    <w:rsid w:val="003A40CF"/>
    <w:rsid w:val="003A41DB"/>
    <w:rsid w:val="003A43CC"/>
    <w:rsid w:val="003A449C"/>
    <w:rsid w:val="003A4712"/>
    <w:rsid w:val="003A50D8"/>
    <w:rsid w:val="003A5AA6"/>
    <w:rsid w:val="003A5F0F"/>
    <w:rsid w:val="003A6973"/>
    <w:rsid w:val="003A729D"/>
    <w:rsid w:val="003A7A38"/>
    <w:rsid w:val="003A7B58"/>
    <w:rsid w:val="003B00C2"/>
    <w:rsid w:val="003B033F"/>
    <w:rsid w:val="003B0B4B"/>
    <w:rsid w:val="003B0D44"/>
    <w:rsid w:val="003B15D5"/>
    <w:rsid w:val="003B1BE5"/>
    <w:rsid w:val="003B1F49"/>
    <w:rsid w:val="003B2171"/>
    <w:rsid w:val="003B2738"/>
    <w:rsid w:val="003B2A4E"/>
    <w:rsid w:val="003B399A"/>
    <w:rsid w:val="003B3A65"/>
    <w:rsid w:val="003B49CB"/>
    <w:rsid w:val="003B4E05"/>
    <w:rsid w:val="003B63AF"/>
    <w:rsid w:val="003B65A3"/>
    <w:rsid w:val="003B663C"/>
    <w:rsid w:val="003B6862"/>
    <w:rsid w:val="003B748F"/>
    <w:rsid w:val="003B76E3"/>
    <w:rsid w:val="003B7E0A"/>
    <w:rsid w:val="003C09D6"/>
    <w:rsid w:val="003C1654"/>
    <w:rsid w:val="003C1656"/>
    <w:rsid w:val="003C194D"/>
    <w:rsid w:val="003C1A0C"/>
    <w:rsid w:val="003C1AB1"/>
    <w:rsid w:val="003C2529"/>
    <w:rsid w:val="003C307B"/>
    <w:rsid w:val="003C3457"/>
    <w:rsid w:val="003C4314"/>
    <w:rsid w:val="003C53F7"/>
    <w:rsid w:val="003C555A"/>
    <w:rsid w:val="003C6C49"/>
    <w:rsid w:val="003C6DBC"/>
    <w:rsid w:val="003C6E05"/>
    <w:rsid w:val="003C77A9"/>
    <w:rsid w:val="003C7B83"/>
    <w:rsid w:val="003D01DD"/>
    <w:rsid w:val="003D0F0E"/>
    <w:rsid w:val="003D17E2"/>
    <w:rsid w:val="003D2655"/>
    <w:rsid w:val="003D3030"/>
    <w:rsid w:val="003D31CC"/>
    <w:rsid w:val="003D357F"/>
    <w:rsid w:val="003D3A42"/>
    <w:rsid w:val="003D3F79"/>
    <w:rsid w:val="003D40AB"/>
    <w:rsid w:val="003D52A2"/>
    <w:rsid w:val="003D55B1"/>
    <w:rsid w:val="003D5821"/>
    <w:rsid w:val="003D599B"/>
    <w:rsid w:val="003D5A41"/>
    <w:rsid w:val="003D5E7E"/>
    <w:rsid w:val="003D63FB"/>
    <w:rsid w:val="003D644F"/>
    <w:rsid w:val="003D6452"/>
    <w:rsid w:val="003D6656"/>
    <w:rsid w:val="003D6B7A"/>
    <w:rsid w:val="003D6BDE"/>
    <w:rsid w:val="003D7E55"/>
    <w:rsid w:val="003E0151"/>
    <w:rsid w:val="003E0610"/>
    <w:rsid w:val="003E0897"/>
    <w:rsid w:val="003E2C43"/>
    <w:rsid w:val="003E2FE9"/>
    <w:rsid w:val="003E3829"/>
    <w:rsid w:val="003E394D"/>
    <w:rsid w:val="003E4041"/>
    <w:rsid w:val="003E45AB"/>
    <w:rsid w:val="003E4C27"/>
    <w:rsid w:val="003E523C"/>
    <w:rsid w:val="003E5978"/>
    <w:rsid w:val="003E5B9B"/>
    <w:rsid w:val="003E5EB8"/>
    <w:rsid w:val="003E6B8D"/>
    <w:rsid w:val="003E705C"/>
    <w:rsid w:val="003E7375"/>
    <w:rsid w:val="003E777D"/>
    <w:rsid w:val="003E7CA0"/>
    <w:rsid w:val="003F0102"/>
    <w:rsid w:val="003F03DA"/>
    <w:rsid w:val="003F0435"/>
    <w:rsid w:val="003F0453"/>
    <w:rsid w:val="003F0F8E"/>
    <w:rsid w:val="003F0FDE"/>
    <w:rsid w:val="003F1B2E"/>
    <w:rsid w:val="003F1EFC"/>
    <w:rsid w:val="003F2117"/>
    <w:rsid w:val="003F23AA"/>
    <w:rsid w:val="003F375D"/>
    <w:rsid w:val="003F392B"/>
    <w:rsid w:val="003F392F"/>
    <w:rsid w:val="003F4641"/>
    <w:rsid w:val="003F4945"/>
    <w:rsid w:val="003F4D44"/>
    <w:rsid w:val="003F52A6"/>
    <w:rsid w:val="003F52FB"/>
    <w:rsid w:val="003F5E6E"/>
    <w:rsid w:val="003F61DB"/>
    <w:rsid w:val="003F62BF"/>
    <w:rsid w:val="003F66CF"/>
    <w:rsid w:val="003F670F"/>
    <w:rsid w:val="003F6A1B"/>
    <w:rsid w:val="003F6AD9"/>
    <w:rsid w:val="003F6CBB"/>
    <w:rsid w:val="003F6D61"/>
    <w:rsid w:val="003F7DD3"/>
    <w:rsid w:val="003F7EAD"/>
    <w:rsid w:val="00400597"/>
    <w:rsid w:val="00401E0B"/>
    <w:rsid w:val="004027D9"/>
    <w:rsid w:val="004028B0"/>
    <w:rsid w:val="0040299A"/>
    <w:rsid w:val="004034B0"/>
    <w:rsid w:val="004036E7"/>
    <w:rsid w:val="00403878"/>
    <w:rsid w:val="00403BC4"/>
    <w:rsid w:val="00403BE7"/>
    <w:rsid w:val="00403DC0"/>
    <w:rsid w:val="0040442A"/>
    <w:rsid w:val="00404643"/>
    <w:rsid w:val="00405A5E"/>
    <w:rsid w:val="00406723"/>
    <w:rsid w:val="004068DE"/>
    <w:rsid w:val="00407293"/>
    <w:rsid w:val="0040763D"/>
    <w:rsid w:val="004078B1"/>
    <w:rsid w:val="00407CC9"/>
    <w:rsid w:val="0041005A"/>
    <w:rsid w:val="00410112"/>
    <w:rsid w:val="00410CEB"/>
    <w:rsid w:val="00410E35"/>
    <w:rsid w:val="0041198E"/>
    <w:rsid w:val="004125E0"/>
    <w:rsid w:val="00412AC8"/>
    <w:rsid w:val="00412B30"/>
    <w:rsid w:val="004143B9"/>
    <w:rsid w:val="00414D4A"/>
    <w:rsid w:val="00416129"/>
    <w:rsid w:val="004161BE"/>
    <w:rsid w:val="00416898"/>
    <w:rsid w:val="00416A5C"/>
    <w:rsid w:val="00416B85"/>
    <w:rsid w:val="004177A7"/>
    <w:rsid w:val="00420E7F"/>
    <w:rsid w:val="00421342"/>
    <w:rsid w:val="0042134B"/>
    <w:rsid w:val="00421A60"/>
    <w:rsid w:val="00421AB7"/>
    <w:rsid w:val="004221D4"/>
    <w:rsid w:val="004227AB"/>
    <w:rsid w:val="00422C75"/>
    <w:rsid w:val="00422D77"/>
    <w:rsid w:val="0042307F"/>
    <w:rsid w:val="004237C8"/>
    <w:rsid w:val="00423B65"/>
    <w:rsid w:val="00423C2A"/>
    <w:rsid w:val="00424B31"/>
    <w:rsid w:val="0042544D"/>
    <w:rsid w:val="00425688"/>
    <w:rsid w:val="004260CD"/>
    <w:rsid w:val="0042649D"/>
    <w:rsid w:val="0042678D"/>
    <w:rsid w:val="00427636"/>
    <w:rsid w:val="0042797A"/>
    <w:rsid w:val="00427CB8"/>
    <w:rsid w:val="00430A3B"/>
    <w:rsid w:val="00430A40"/>
    <w:rsid w:val="00430FF3"/>
    <w:rsid w:val="00431207"/>
    <w:rsid w:val="004319DF"/>
    <w:rsid w:val="004321FE"/>
    <w:rsid w:val="00432719"/>
    <w:rsid w:val="00432B19"/>
    <w:rsid w:val="00432B99"/>
    <w:rsid w:val="00432DCA"/>
    <w:rsid w:val="0043301A"/>
    <w:rsid w:val="00433855"/>
    <w:rsid w:val="00434020"/>
    <w:rsid w:val="0043451C"/>
    <w:rsid w:val="0043492F"/>
    <w:rsid w:val="00434A9D"/>
    <w:rsid w:val="00434AAB"/>
    <w:rsid w:val="00434AF1"/>
    <w:rsid w:val="0043537C"/>
    <w:rsid w:val="00435F2A"/>
    <w:rsid w:val="004361D0"/>
    <w:rsid w:val="0043783E"/>
    <w:rsid w:val="00437F36"/>
    <w:rsid w:val="00440155"/>
    <w:rsid w:val="00440180"/>
    <w:rsid w:val="00440666"/>
    <w:rsid w:val="004407D4"/>
    <w:rsid w:val="004409E1"/>
    <w:rsid w:val="00440DF3"/>
    <w:rsid w:val="004413FC"/>
    <w:rsid w:val="00442817"/>
    <w:rsid w:val="00442C3E"/>
    <w:rsid w:val="0044379C"/>
    <w:rsid w:val="00443C34"/>
    <w:rsid w:val="00443DB9"/>
    <w:rsid w:val="0044532E"/>
    <w:rsid w:val="00445499"/>
    <w:rsid w:val="004462DB"/>
    <w:rsid w:val="0044656E"/>
    <w:rsid w:val="004465BE"/>
    <w:rsid w:val="004467BE"/>
    <w:rsid w:val="0044768A"/>
    <w:rsid w:val="00447AC3"/>
    <w:rsid w:val="0044866C"/>
    <w:rsid w:val="00450653"/>
    <w:rsid w:val="004508B1"/>
    <w:rsid w:val="004510C7"/>
    <w:rsid w:val="004515AE"/>
    <w:rsid w:val="00451708"/>
    <w:rsid w:val="00451A48"/>
    <w:rsid w:val="004533EB"/>
    <w:rsid w:val="004534C0"/>
    <w:rsid w:val="00453F7F"/>
    <w:rsid w:val="00454280"/>
    <w:rsid w:val="004544F9"/>
    <w:rsid w:val="004546E3"/>
    <w:rsid w:val="00454FC7"/>
    <w:rsid w:val="00455414"/>
    <w:rsid w:val="00455499"/>
    <w:rsid w:val="00455999"/>
    <w:rsid w:val="00456684"/>
    <w:rsid w:val="00456D0C"/>
    <w:rsid w:val="00456EC6"/>
    <w:rsid w:val="00457084"/>
    <w:rsid w:val="00457333"/>
    <w:rsid w:val="00457D4D"/>
    <w:rsid w:val="004609BA"/>
    <w:rsid w:val="00460C45"/>
    <w:rsid w:val="0046136A"/>
    <w:rsid w:val="00461428"/>
    <w:rsid w:val="00461777"/>
    <w:rsid w:val="00461CDA"/>
    <w:rsid w:val="00462331"/>
    <w:rsid w:val="0046274B"/>
    <w:rsid w:val="00462A94"/>
    <w:rsid w:val="00462B8B"/>
    <w:rsid w:val="00463071"/>
    <w:rsid w:val="00463159"/>
    <w:rsid w:val="00463687"/>
    <w:rsid w:val="00463A08"/>
    <w:rsid w:val="00463A75"/>
    <w:rsid w:val="00463F28"/>
    <w:rsid w:val="00464217"/>
    <w:rsid w:val="00464332"/>
    <w:rsid w:val="004654B4"/>
    <w:rsid w:val="00466A8F"/>
    <w:rsid w:val="00467723"/>
    <w:rsid w:val="00467954"/>
    <w:rsid w:val="004702E5"/>
    <w:rsid w:val="00470315"/>
    <w:rsid w:val="00470C14"/>
    <w:rsid w:val="00470CCF"/>
    <w:rsid w:val="004711C8"/>
    <w:rsid w:val="004716A4"/>
    <w:rsid w:val="00472AA9"/>
    <w:rsid w:val="00472C4D"/>
    <w:rsid w:val="00473C1E"/>
    <w:rsid w:val="00474205"/>
    <w:rsid w:val="004747CA"/>
    <w:rsid w:val="00474911"/>
    <w:rsid w:val="00474AFE"/>
    <w:rsid w:val="004755DE"/>
    <w:rsid w:val="00475ABC"/>
    <w:rsid w:val="00475B2A"/>
    <w:rsid w:val="00476BFB"/>
    <w:rsid w:val="004773AB"/>
    <w:rsid w:val="00477CD0"/>
    <w:rsid w:val="00480178"/>
    <w:rsid w:val="00480193"/>
    <w:rsid w:val="004803D3"/>
    <w:rsid w:val="004808D2"/>
    <w:rsid w:val="0048244B"/>
    <w:rsid w:val="00482CEA"/>
    <w:rsid w:val="004836AF"/>
    <w:rsid w:val="00483936"/>
    <w:rsid w:val="00483AFD"/>
    <w:rsid w:val="00484117"/>
    <w:rsid w:val="00484216"/>
    <w:rsid w:val="004843B2"/>
    <w:rsid w:val="00484415"/>
    <w:rsid w:val="00484488"/>
    <w:rsid w:val="004848A5"/>
    <w:rsid w:val="00484C2F"/>
    <w:rsid w:val="004851BD"/>
    <w:rsid w:val="004858B9"/>
    <w:rsid w:val="00485DFE"/>
    <w:rsid w:val="00487062"/>
    <w:rsid w:val="00487A8E"/>
    <w:rsid w:val="00487F51"/>
    <w:rsid w:val="004918A6"/>
    <w:rsid w:val="00491957"/>
    <w:rsid w:val="00491BF0"/>
    <w:rsid w:val="004920E9"/>
    <w:rsid w:val="00492453"/>
    <w:rsid w:val="004924B3"/>
    <w:rsid w:val="00493F23"/>
    <w:rsid w:val="0049403F"/>
    <w:rsid w:val="004946D0"/>
    <w:rsid w:val="00494DF1"/>
    <w:rsid w:val="00494F85"/>
    <w:rsid w:val="00495012"/>
    <w:rsid w:val="00495463"/>
    <w:rsid w:val="00495D19"/>
    <w:rsid w:val="00496080"/>
    <w:rsid w:val="004960AD"/>
    <w:rsid w:val="004965EC"/>
    <w:rsid w:val="00496DF5"/>
    <w:rsid w:val="00496E2C"/>
    <w:rsid w:val="004971F3"/>
    <w:rsid w:val="00497CB9"/>
    <w:rsid w:val="00497DE0"/>
    <w:rsid w:val="004A1588"/>
    <w:rsid w:val="004A2490"/>
    <w:rsid w:val="004A2D23"/>
    <w:rsid w:val="004A2E0D"/>
    <w:rsid w:val="004A3470"/>
    <w:rsid w:val="004A3747"/>
    <w:rsid w:val="004A38AC"/>
    <w:rsid w:val="004A38FB"/>
    <w:rsid w:val="004A3EC3"/>
    <w:rsid w:val="004A461A"/>
    <w:rsid w:val="004A54F0"/>
    <w:rsid w:val="004A5F7D"/>
    <w:rsid w:val="004A6123"/>
    <w:rsid w:val="004A656A"/>
    <w:rsid w:val="004A78BE"/>
    <w:rsid w:val="004A78EF"/>
    <w:rsid w:val="004A791A"/>
    <w:rsid w:val="004A7DEB"/>
    <w:rsid w:val="004A7E91"/>
    <w:rsid w:val="004B0821"/>
    <w:rsid w:val="004B0AA0"/>
    <w:rsid w:val="004B0F04"/>
    <w:rsid w:val="004B11A2"/>
    <w:rsid w:val="004B1D14"/>
    <w:rsid w:val="004B201C"/>
    <w:rsid w:val="004B3F1C"/>
    <w:rsid w:val="004B4509"/>
    <w:rsid w:val="004B561D"/>
    <w:rsid w:val="004B58B6"/>
    <w:rsid w:val="004B6A4F"/>
    <w:rsid w:val="004B70DF"/>
    <w:rsid w:val="004B72FE"/>
    <w:rsid w:val="004B7362"/>
    <w:rsid w:val="004B775F"/>
    <w:rsid w:val="004C05FA"/>
    <w:rsid w:val="004C07F8"/>
    <w:rsid w:val="004C0820"/>
    <w:rsid w:val="004C0879"/>
    <w:rsid w:val="004C09AF"/>
    <w:rsid w:val="004C0A4F"/>
    <w:rsid w:val="004C0EC2"/>
    <w:rsid w:val="004C14AD"/>
    <w:rsid w:val="004C1908"/>
    <w:rsid w:val="004C1C36"/>
    <w:rsid w:val="004C1C79"/>
    <w:rsid w:val="004C1E0C"/>
    <w:rsid w:val="004C2112"/>
    <w:rsid w:val="004C2532"/>
    <w:rsid w:val="004C275C"/>
    <w:rsid w:val="004C2B10"/>
    <w:rsid w:val="004C2B7C"/>
    <w:rsid w:val="004C325C"/>
    <w:rsid w:val="004C3678"/>
    <w:rsid w:val="004C4518"/>
    <w:rsid w:val="004C45AF"/>
    <w:rsid w:val="004C45EB"/>
    <w:rsid w:val="004C482A"/>
    <w:rsid w:val="004C52A6"/>
    <w:rsid w:val="004C5B17"/>
    <w:rsid w:val="004C5B34"/>
    <w:rsid w:val="004C5F6C"/>
    <w:rsid w:val="004C6F17"/>
    <w:rsid w:val="004C7B77"/>
    <w:rsid w:val="004D0359"/>
    <w:rsid w:val="004D03BB"/>
    <w:rsid w:val="004D0A1C"/>
    <w:rsid w:val="004D10B9"/>
    <w:rsid w:val="004D1214"/>
    <w:rsid w:val="004D12F4"/>
    <w:rsid w:val="004D17A2"/>
    <w:rsid w:val="004D1E9E"/>
    <w:rsid w:val="004D28C3"/>
    <w:rsid w:val="004D31E6"/>
    <w:rsid w:val="004D3538"/>
    <w:rsid w:val="004D361E"/>
    <w:rsid w:val="004D3A45"/>
    <w:rsid w:val="004D4551"/>
    <w:rsid w:val="004D6392"/>
    <w:rsid w:val="004D679A"/>
    <w:rsid w:val="004D6A18"/>
    <w:rsid w:val="004D6E2F"/>
    <w:rsid w:val="004D7463"/>
    <w:rsid w:val="004E18A6"/>
    <w:rsid w:val="004E23E7"/>
    <w:rsid w:val="004E246C"/>
    <w:rsid w:val="004E2511"/>
    <w:rsid w:val="004E3504"/>
    <w:rsid w:val="004E3959"/>
    <w:rsid w:val="004E4049"/>
    <w:rsid w:val="004E40CC"/>
    <w:rsid w:val="004E4164"/>
    <w:rsid w:val="004E4A43"/>
    <w:rsid w:val="004E4B9D"/>
    <w:rsid w:val="004E4D42"/>
    <w:rsid w:val="004E4F56"/>
    <w:rsid w:val="004E4FEE"/>
    <w:rsid w:val="004E6CE0"/>
    <w:rsid w:val="004E7633"/>
    <w:rsid w:val="004E7B1B"/>
    <w:rsid w:val="004F0A67"/>
    <w:rsid w:val="004F12F6"/>
    <w:rsid w:val="004F1349"/>
    <w:rsid w:val="004F1755"/>
    <w:rsid w:val="004F1927"/>
    <w:rsid w:val="004F19DD"/>
    <w:rsid w:val="004F1A9B"/>
    <w:rsid w:val="004F1D09"/>
    <w:rsid w:val="004F1D85"/>
    <w:rsid w:val="004F2008"/>
    <w:rsid w:val="004F2928"/>
    <w:rsid w:val="004F2AE3"/>
    <w:rsid w:val="004F2CEF"/>
    <w:rsid w:val="004F2DF1"/>
    <w:rsid w:val="004F2FF9"/>
    <w:rsid w:val="004F3359"/>
    <w:rsid w:val="004F45B4"/>
    <w:rsid w:val="004F47B6"/>
    <w:rsid w:val="004F51A8"/>
    <w:rsid w:val="004F66C4"/>
    <w:rsid w:val="004F6752"/>
    <w:rsid w:val="004F6A33"/>
    <w:rsid w:val="004F6A8C"/>
    <w:rsid w:val="004F7072"/>
    <w:rsid w:val="004F7171"/>
    <w:rsid w:val="004F7270"/>
    <w:rsid w:val="004F784F"/>
    <w:rsid w:val="004F78DD"/>
    <w:rsid w:val="004F7AAD"/>
    <w:rsid w:val="004F7B8E"/>
    <w:rsid w:val="00500030"/>
    <w:rsid w:val="00500C70"/>
    <w:rsid w:val="00500CA3"/>
    <w:rsid w:val="00500DAA"/>
    <w:rsid w:val="0050115E"/>
    <w:rsid w:val="005026C5"/>
    <w:rsid w:val="00503CC4"/>
    <w:rsid w:val="00503D17"/>
    <w:rsid w:val="0050407C"/>
    <w:rsid w:val="00504605"/>
    <w:rsid w:val="00506506"/>
    <w:rsid w:val="005068DA"/>
    <w:rsid w:val="00506E3A"/>
    <w:rsid w:val="0050715A"/>
    <w:rsid w:val="0050726C"/>
    <w:rsid w:val="0050787D"/>
    <w:rsid w:val="00507F4B"/>
    <w:rsid w:val="00510687"/>
    <w:rsid w:val="00510D06"/>
    <w:rsid w:val="00510DEF"/>
    <w:rsid w:val="00510F92"/>
    <w:rsid w:val="00511192"/>
    <w:rsid w:val="005116E5"/>
    <w:rsid w:val="00511748"/>
    <w:rsid w:val="00511BC3"/>
    <w:rsid w:val="0051265A"/>
    <w:rsid w:val="00512B40"/>
    <w:rsid w:val="00512E81"/>
    <w:rsid w:val="00512FC8"/>
    <w:rsid w:val="00514DDE"/>
    <w:rsid w:val="0051557E"/>
    <w:rsid w:val="00515629"/>
    <w:rsid w:val="00515AF8"/>
    <w:rsid w:val="00515CF9"/>
    <w:rsid w:val="00515E72"/>
    <w:rsid w:val="00515EEC"/>
    <w:rsid w:val="00516040"/>
    <w:rsid w:val="0051605B"/>
    <w:rsid w:val="00516203"/>
    <w:rsid w:val="00516C6F"/>
    <w:rsid w:val="00520087"/>
    <w:rsid w:val="005209EF"/>
    <w:rsid w:val="00520ADE"/>
    <w:rsid w:val="00520ED4"/>
    <w:rsid w:val="0052137A"/>
    <w:rsid w:val="005214C0"/>
    <w:rsid w:val="005214E8"/>
    <w:rsid w:val="00521802"/>
    <w:rsid w:val="00522156"/>
    <w:rsid w:val="00522580"/>
    <w:rsid w:val="00522DAE"/>
    <w:rsid w:val="00522E67"/>
    <w:rsid w:val="00523A34"/>
    <w:rsid w:val="00523BE3"/>
    <w:rsid w:val="00524121"/>
    <w:rsid w:val="0052456B"/>
    <w:rsid w:val="005247E2"/>
    <w:rsid w:val="00524CB4"/>
    <w:rsid w:val="00525115"/>
    <w:rsid w:val="0052511A"/>
    <w:rsid w:val="00525824"/>
    <w:rsid w:val="0052684E"/>
    <w:rsid w:val="00526B96"/>
    <w:rsid w:val="00526E06"/>
    <w:rsid w:val="0052742C"/>
    <w:rsid w:val="00527C0E"/>
    <w:rsid w:val="00530039"/>
    <w:rsid w:val="005300A6"/>
    <w:rsid w:val="00530292"/>
    <w:rsid w:val="005307B3"/>
    <w:rsid w:val="005308AE"/>
    <w:rsid w:val="00531903"/>
    <w:rsid w:val="00532303"/>
    <w:rsid w:val="00532370"/>
    <w:rsid w:val="0053263F"/>
    <w:rsid w:val="005329B6"/>
    <w:rsid w:val="0053335E"/>
    <w:rsid w:val="00533B9F"/>
    <w:rsid w:val="00533E6D"/>
    <w:rsid w:val="0053463B"/>
    <w:rsid w:val="00534F4C"/>
    <w:rsid w:val="00535065"/>
    <w:rsid w:val="00535259"/>
    <w:rsid w:val="00535554"/>
    <w:rsid w:val="0053581F"/>
    <w:rsid w:val="00536461"/>
    <w:rsid w:val="00536883"/>
    <w:rsid w:val="00536AEB"/>
    <w:rsid w:val="005378EB"/>
    <w:rsid w:val="00537DC3"/>
    <w:rsid w:val="005406ED"/>
    <w:rsid w:val="00540B9E"/>
    <w:rsid w:val="0054128C"/>
    <w:rsid w:val="00542737"/>
    <w:rsid w:val="005428E0"/>
    <w:rsid w:val="0054290F"/>
    <w:rsid w:val="00543478"/>
    <w:rsid w:val="00543486"/>
    <w:rsid w:val="00543492"/>
    <w:rsid w:val="00543F06"/>
    <w:rsid w:val="00544193"/>
    <w:rsid w:val="00544C0C"/>
    <w:rsid w:val="00545740"/>
    <w:rsid w:val="00545832"/>
    <w:rsid w:val="005458AB"/>
    <w:rsid w:val="005462B0"/>
    <w:rsid w:val="00546620"/>
    <w:rsid w:val="00546C96"/>
    <w:rsid w:val="00546F94"/>
    <w:rsid w:val="0054714B"/>
    <w:rsid w:val="005504E3"/>
    <w:rsid w:val="005505D4"/>
    <w:rsid w:val="00550FE2"/>
    <w:rsid w:val="00551C4D"/>
    <w:rsid w:val="00553BB8"/>
    <w:rsid w:val="00554389"/>
    <w:rsid w:val="00554398"/>
    <w:rsid w:val="00554CD7"/>
    <w:rsid w:val="00554E2F"/>
    <w:rsid w:val="00555416"/>
    <w:rsid w:val="00556770"/>
    <w:rsid w:val="00556AE2"/>
    <w:rsid w:val="00556C5C"/>
    <w:rsid w:val="005572E2"/>
    <w:rsid w:val="005578AB"/>
    <w:rsid w:val="00560A7C"/>
    <w:rsid w:val="00560A9F"/>
    <w:rsid w:val="00560D9E"/>
    <w:rsid w:val="00563B32"/>
    <w:rsid w:val="00563FBF"/>
    <w:rsid w:val="0056492B"/>
    <w:rsid w:val="00564E22"/>
    <w:rsid w:val="00565593"/>
    <w:rsid w:val="0056563B"/>
    <w:rsid w:val="00565FA1"/>
    <w:rsid w:val="005667E6"/>
    <w:rsid w:val="00566926"/>
    <w:rsid w:val="00567264"/>
    <w:rsid w:val="0056796F"/>
    <w:rsid w:val="00567AF6"/>
    <w:rsid w:val="005711CB"/>
    <w:rsid w:val="00571739"/>
    <w:rsid w:val="0057183D"/>
    <w:rsid w:val="00571D83"/>
    <w:rsid w:val="00572E29"/>
    <w:rsid w:val="00573CFB"/>
    <w:rsid w:val="0057404A"/>
    <w:rsid w:val="00574815"/>
    <w:rsid w:val="00574A71"/>
    <w:rsid w:val="0057588B"/>
    <w:rsid w:val="00575D38"/>
    <w:rsid w:val="00576A63"/>
    <w:rsid w:val="00577A42"/>
    <w:rsid w:val="0058011F"/>
    <w:rsid w:val="00580498"/>
    <w:rsid w:val="00580564"/>
    <w:rsid w:val="00580AD2"/>
    <w:rsid w:val="00580C95"/>
    <w:rsid w:val="00580E39"/>
    <w:rsid w:val="005811A5"/>
    <w:rsid w:val="00581333"/>
    <w:rsid w:val="00581768"/>
    <w:rsid w:val="005819EC"/>
    <w:rsid w:val="00581E2F"/>
    <w:rsid w:val="005820EC"/>
    <w:rsid w:val="00582DE0"/>
    <w:rsid w:val="00583743"/>
    <w:rsid w:val="00583B4A"/>
    <w:rsid w:val="00583C47"/>
    <w:rsid w:val="00583F76"/>
    <w:rsid w:val="00584F08"/>
    <w:rsid w:val="005852C1"/>
    <w:rsid w:val="0058542D"/>
    <w:rsid w:val="00585936"/>
    <w:rsid w:val="00585F83"/>
    <w:rsid w:val="005875B5"/>
    <w:rsid w:val="0058765B"/>
    <w:rsid w:val="005876F0"/>
    <w:rsid w:val="00587890"/>
    <w:rsid w:val="00590530"/>
    <w:rsid w:val="00590999"/>
    <w:rsid w:val="00590D21"/>
    <w:rsid w:val="00591140"/>
    <w:rsid w:val="0059118F"/>
    <w:rsid w:val="005913C9"/>
    <w:rsid w:val="005916EC"/>
    <w:rsid w:val="005917AD"/>
    <w:rsid w:val="005917BD"/>
    <w:rsid w:val="005917DF"/>
    <w:rsid w:val="00591A50"/>
    <w:rsid w:val="00591C00"/>
    <w:rsid w:val="00591E5E"/>
    <w:rsid w:val="00591ED9"/>
    <w:rsid w:val="0059281A"/>
    <w:rsid w:val="00592F14"/>
    <w:rsid w:val="00592F7F"/>
    <w:rsid w:val="005939CA"/>
    <w:rsid w:val="00594478"/>
    <w:rsid w:val="005944A6"/>
    <w:rsid w:val="00595443"/>
    <w:rsid w:val="0059571F"/>
    <w:rsid w:val="005961D2"/>
    <w:rsid w:val="00596352"/>
    <w:rsid w:val="005965FD"/>
    <w:rsid w:val="00596948"/>
    <w:rsid w:val="00597866"/>
    <w:rsid w:val="005A03FA"/>
    <w:rsid w:val="005A09B3"/>
    <w:rsid w:val="005A0FC2"/>
    <w:rsid w:val="005A13C1"/>
    <w:rsid w:val="005A1EEF"/>
    <w:rsid w:val="005A229C"/>
    <w:rsid w:val="005A2CF2"/>
    <w:rsid w:val="005A2D1C"/>
    <w:rsid w:val="005A2E5D"/>
    <w:rsid w:val="005A3006"/>
    <w:rsid w:val="005A3800"/>
    <w:rsid w:val="005A3E03"/>
    <w:rsid w:val="005A3F79"/>
    <w:rsid w:val="005A4524"/>
    <w:rsid w:val="005A459D"/>
    <w:rsid w:val="005A48A6"/>
    <w:rsid w:val="005A4DD1"/>
    <w:rsid w:val="005A4F32"/>
    <w:rsid w:val="005A5F6E"/>
    <w:rsid w:val="005A6150"/>
    <w:rsid w:val="005A6C81"/>
    <w:rsid w:val="005A6CA5"/>
    <w:rsid w:val="005A72DA"/>
    <w:rsid w:val="005B0467"/>
    <w:rsid w:val="005B0EBF"/>
    <w:rsid w:val="005B11EE"/>
    <w:rsid w:val="005B13B2"/>
    <w:rsid w:val="005B1518"/>
    <w:rsid w:val="005B1607"/>
    <w:rsid w:val="005B170B"/>
    <w:rsid w:val="005B17B3"/>
    <w:rsid w:val="005B1B25"/>
    <w:rsid w:val="005B21D7"/>
    <w:rsid w:val="005B276A"/>
    <w:rsid w:val="005B2BE7"/>
    <w:rsid w:val="005B2E54"/>
    <w:rsid w:val="005B30EF"/>
    <w:rsid w:val="005B31C1"/>
    <w:rsid w:val="005B3A14"/>
    <w:rsid w:val="005B3FAD"/>
    <w:rsid w:val="005B48F0"/>
    <w:rsid w:val="005B59FB"/>
    <w:rsid w:val="005B5BEF"/>
    <w:rsid w:val="005B5EBB"/>
    <w:rsid w:val="005B5F67"/>
    <w:rsid w:val="005B70B2"/>
    <w:rsid w:val="005B72AB"/>
    <w:rsid w:val="005B73A5"/>
    <w:rsid w:val="005B7A1D"/>
    <w:rsid w:val="005C024C"/>
    <w:rsid w:val="005C0591"/>
    <w:rsid w:val="005C0850"/>
    <w:rsid w:val="005C09C9"/>
    <w:rsid w:val="005C0AC9"/>
    <w:rsid w:val="005C0C63"/>
    <w:rsid w:val="005C17A0"/>
    <w:rsid w:val="005C24FE"/>
    <w:rsid w:val="005C2687"/>
    <w:rsid w:val="005C2DC9"/>
    <w:rsid w:val="005C30EB"/>
    <w:rsid w:val="005C332A"/>
    <w:rsid w:val="005C3AA0"/>
    <w:rsid w:val="005C3E81"/>
    <w:rsid w:val="005C49B6"/>
    <w:rsid w:val="005C4EF1"/>
    <w:rsid w:val="005C584F"/>
    <w:rsid w:val="005C5AAC"/>
    <w:rsid w:val="005C5AE6"/>
    <w:rsid w:val="005C5BB0"/>
    <w:rsid w:val="005C620E"/>
    <w:rsid w:val="005C6427"/>
    <w:rsid w:val="005C649F"/>
    <w:rsid w:val="005C6ABC"/>
    <w:rsid w:val="005C73EF"/>
    <w:rsid w:val="005D0918"/>
    <w:rsid w:val="005D095D"/>
    <w:rsid w:val="005D0DC9"/>
    <w:rsid w:val="005D138C"/>
    <w:rsid w:val="005D1983"/>
    <w:rsid w:val="005D1CE9"/>
    <w:rsid w:val="005D2095"/>
    <w:rsid w:val="005D2327"/>
    <w:rsid w:val="005D2C0E"/>
    <w:rsid w:val="005D3C57"/>
    <w:rsid w:val="005D40BB"/>
    <w:rsid w:val="005D4119"/>
    <w:rsid w:val="005D49FC"/>
    <w:rsid w:val="005D4D5D"/>
    <w:rsid w:val="005D4FE1"/>
    <w:rsid w:val="005D5C28"/>
    <w:rsid w:val="005D61F4"/>
    <w:rsid w:val="005D654E"/>
    <w:rsid w:val="005D6E38"/>
    <w:rsid w:val="005D7536"/>
    <w:rsid w:val="005E0093"/>
    <w:rsid w:val="005E0440"/>
    <w:rsid w:val="005E079E"/>
    <w:rsid w:val="005E0D12"/>
    <w:rsid w:val="005E0EC4"/>
    <w:rsid w:val="005E1345"/>
    <w:rsid w:val="005E1930"/>
    <w:rsid w:val="005E3755"/>
    <w:rsid w:val="005E39AF"/>
    <w:rsid w:val="005E504B"/>
    <w:rsid w:val="005E53C6"/>
    <w:rsid w:val="005E5901"/>
    <w:rsid w:val="005E5950"/>
    <w:rsid w:val="005E62A7"/>
    <w:rsid w:val="005E643E"/>
    <w:rsid w:val="005E6A81"/>
    <w:rsid w:val="005E73D4"/>
    <w:rsid w:val="005E7B41"/>
    <w:rsid w:val="005E7E36"/>
    <w:rsid w:val="005E7F69"/>
    <w:rsid w:val="005F0889"/>
    <w:rsid w:val="005F0C61"/>
    <w:rsid w:val="005F198C"/>
    <w:rsid w:val="005F1BED"/>
    <w:rsid w:val="005F20F1"/>
    <w:rsid w:val="005F2151"/>
    <w:rsid w:val="005F27D6"/>
    <w:rsid w:val="005F2AFD"/>
    <w:rsid w:val="005F2B92"/>
    <w:rsid w:val="005F2D17"/>
    <w:rsid w:val="005F33E1"/>
    <w:rsid w:val="005F342A"/>
    <w:rsid w:val="005F3C38"/>
    <w:rsid w:val="005F3F8E"/>
    <w:rsid w:val="005F41F9"/>
    <w:rsid w:val="005F5DE0"/>
    <w:rsid w:val="005F6619"/>
    <w:rsid w:val="005F70E7"/>
    <w:rsid w:val="005F720A"/>
    <w:rsid w:val="005F7394"/>
    <w:rsid w:val="005F7671"/>
    <w:rsid w:val="005F7CBE"/>
    <w:rsid w:val="00601F99"/>
    <w:rsid w:val="006020D5"/>
    <w:rsid w:val="00602709"/>
    <w:rsid w:val="006027D1"/>
    <w:rsid w:val="00602A2D"/>
    <w:rsid w:val="00602E86"/>
    <w:rsid w:val="0060307D"/>
    <w:rsid w:val="006034B0"/>
    <w:rsid w:val="00603890"/>
    <w:rsid w:val="00603B43"/>
    <w:rsid w:val="00604243"/>
    <w:rsid w:val="00604625"/>
    <w:rsid w:val="006046F7"/>
    <w:rsid w:val="00604AC1"/>
    <w:rsid w:val="00604AD7"/>
    <w:rsid w:val="00606890"/>
    <w:rsid w:val="00606E8A"/>
    <w:rsid w:val="00607A7E"/>
    <w:rsid w:val="00607ECF"/>
    <w:rsid w:val="00610671"/>
    <w:rsid w:val="00611858"/>
    <w:rsid w:val="00611AA3"/>
    <w:rsid w:val="0061210D"/>
    <w:rsid w:val="006123DD"/>
    <w:rsid w:val="00612832"/>
    <w:rsid w:val="00612886"/>
    <w:rsid w:val="00612B31"/>
    <w:rsid w:val="00612DA5"/>
    <w:rsid w:val="00613084"/>
    <w:rsid w:val="00613996"/>
    <w:rsid w:val="00613A28"/>
    <w:rsid w:val="00614E24"/>
    <w:rsid w:val="00616632"/>
    <w:rsid w:val="00616B80"/>
    <w:rsid w:val="00620675"/>
    <w:rsid w:val="00620F43"/>
    <w:rsid w:val="00621909"/>
    <w:rsid w:val="00621DDE"/>
    <w:rsid w:val="00621EB4"/>
    <w:rsid w:val="00622833"/>
    <w:rsid w:val="00622957"/>
    <w:rsid w:val="00622A9B"/>
    <w:rsid w:val="006234D4"/>
    <w:rsid w:val="006237CF"/>
    <w:rsid w:val="00623A23"/>
    <w:rsid w:val="00623CCB"/>
    <w:rsid w:val="00623EBE"/>
    <w:rsid w:val="006243E7"/>
    <w:rsid w:val="006244AF"/>
    <w:rsid w:val="006249A2"/>
    <w:rsid w:val="00624F87"/>
    <w:rsid w:val="00625A36"/>
    <w:rsid w:val="00625D2F"/>
    <w:rsid w:val="006261FF"/>
    <w:rsid w:val="0062670A"/>
    <w:rsid w:val="006267A7"/>
    <w:rsid w:val="00627B53"/>
    <w:rsid w:val="00627F7F"/>
    <w:rsid w:val="00631139"/>
    <w:rsid w:val="00631603"/>
    <w:rsid w:val="006316AE"/>
    <w:rsid w:val="00631DDC"/>
    <w:rsid w:val="00632264"/>
    <w:rsid w:val="006329D1"/>
    <w:rsid w:val="006329EC"/>
    <w:rsid w:val="00633135"/>
    <w:rsid w:val="00633EEF"/>
    <w:rsid w:val="00633FC6"/>
    <w:rsid w:val="0063470E"/>
    <w:rsid w:val="006347BF"/>
    <w:rsid w:val="00634DEF"/>
    <w:rsid w:val="00635AFA"/>
    <w:rsid w:val="006360FB"/>
    <w:rsid w:val="006364FB"/>
    <w:rsid w:val="00636589"/>
    <w:rsid w:val="00636746"/>
    <w:rsid w:val="00637D19"/>
    <w:rsid w:val="00637DE9"/>
    <w:rsid w:val="00640C44"/>
    <w:rsid w:val="00640F03"/>
    <w:rsid w:val="006415E7"/>
    <w:rsid w:val="00641DE1"/>
    <w:rsid w:val="006420A4"/>
    <w:rsid w:val="0064404B"/>
    <w:rsid w:val="006440B5"/>
    <w:rsid w:val="00644769"/>
    <w:rsid w:val="00644B86"/>
    <w:rsid w:val="006457BE"/>
    <w:rsid w:val="00645E45"/>
    <w:rsid w:val="00646665"/>
    <w:rsid w:val="00646AEF"/>
    <w:rsid w:val="00646D56"/>
    <w:rsid w:val="006477DD"/>
    <w:rsid w:val="0064782F"/>
    <w:rsid w:val="00647B3B"/>
    <w:rsid w:val="00647EFE"/>
    <w:rsid w:val="00650377"/>
    <w:rsid w:val="00650B69"/>
    <w:rsid w:val="00650C14"/>
    <w:rsid w:val="00650CE0"/>
    <w:rsid w:val="00650F4A"/>
    <w:rsid w:val="00651092"/>
    <w:rsid w:val="00651B9E"/>
    <w:rsid w:val="00651DB3"/>
    <w:rsid w:val="006526B1"/>
    <w:rsid w:val="006528B7"/>
    <w:rsid w:val="006528D8"/>
    <w:rsid w:val="006531F9"/>
    <w:rsid w:val="00653690"/>
    <w:rsid w:val="00653DA9"/>
    <w:rsid w:val="00653EBD"/>
    <w:rsid w:val="00655C1F"/>
    <w:rsid w:val="00655FE4"/>
    <w:rsid w:val="0065621C"/>
    <w:rsid w:val="00656C7F"/>
    <w:rsid w:val="006576B9"/>
    <w:rsid w:val="006604B2"/>
    <w:rsid w:val="0066179B"/>
    <w:rsid w:val="00661971"/>
    <w:rsid w:val="00661984"/>
    <w:rsid w:val="00661A91"/>
    <w:rsid w:val="00661BC2"/>
    <w:rsid w:val="006620D5"/>
    <w:rsid w:val="00662195"/>
    <w:rsid w:val="006622F6"/>
    <w:rsid w:val="00662374"/>
    <w:rsid w:val="006629BA"/>
    <w:rsid w:val="00663BE8"/>
    <w:rsid w:val="0066502D"/>
    <w:rsid w:val="0066503D"/>
    <w:rsid w:val="00665C87"/>
    <w:rsid w:val="00667210"/>
    <w:rsid w:val="00667263"/>
    <w:rsid w:val="006673B2"/>
    <w:rsid w:val="006674B0"/>
    <w:rsid w:val="00670B71"/>
    <w:rsid w:val="00670F1D"/>
    <w:rsid w:val="00671702"/>
    <w:rsid w:val="00671B7A"/>
    <w:rsid w:val="00672F78"/>
    <w:rsid w:val="00674252"/>
    <w:rsid w:val="00674361"/>
    <w:rsid w:val="00674C5C"/>
    <w:rsid w:val="00674D42"/>
    <w:rsid w:val="00674F73"/>
    <w:rsid w:val="00675EED"/>
    <w:rsid w:val="0067631F"/>
    <w:rsid w:val="00676506"/>
    <w:rsid w:val="00676A3F"/>
    <w:rsid w:val="0067712F"/>
    <w:rsid w:val="00680D7B"/>
    <w:rsid w:val="00681608"/>
    <w:rsid w:val="00681807"/>
    <w:rsid w:val="00681A44"/>
    <w:rsid w:val="00681D4C"/>
    <w:rsid w:val="00683CC1"/>
    <w:rsid w:val="00683D93"/>
    <w:rsid w:val="0068498D"/>
    <w:rsid w:val="00685A0F"/>
    <w:rsid w:val="00685E7A"/>
    <w:rsid w:val="006867BF"/>
    <w:rsid w:val="00687145"/>
    <w:rsid w:val="0068724B"/>
    <w:rsid w:val="00687345"/>
    <w:rsid w:val="00687657"/>
    <w:rsid w:val="00687952"/>
    <w:rsid w:val="00687EAE"/>
    <w:rsid w:val="00690061"/>
    <w:rsid w:val="00691E52"/>
    <w:rsid w:val="00692041"/>
    <w:rsid w:val="006926D8"/>
    <w:rsid w:val="006930BE"/>
    <w:rsid w:val="00693978"/>
    <w:rsid w:val="006947ED"/>
    <w:rsid w:val="00694DB9"/>
    <w:rsid w:val="00694FC4"/>
    <w:rsid w:val="0069539F"/>
    <w:rsid w:val="00696D8E"/>
    <w:rsid w:val="00697066"/>
    <w:rsid w:val="00697216"/>
    <w:rsid w:val="00697330"/>
    <w:rsid w:val="00697900"/>
    <w:rsid w:val="006A0204"/>
    <w:rsid w:val="006A0677"/>
    <w:rsid w:val="006A09FC"/>
    <w:rsid w:val="006A0A72"/>
    <w:rsid w:val="006A149E"/>
    <w:rsid w:val="006A160E"/>
    <w:rsid w:val="006A1BD3"/>
    <w:rsid w:val="006A20D0"/>
    <w:rsid w:val="006A2A11"/>
    <w:rsid w:val="006A2DE2"/>
    <w:rsid w:val="006A2EBF"/>
    <w:rsid w:val="006A31BE"/>
    <w:rsid w:val="006A33BE"/>
    <w:rsid w:val="006A342A"/>
    <w:rsid w:val="006A383D"/>
    <w:rsid w:val="006A3E1E"/>
    <w:rsid w:val="006A43D0"/>
    <w:rsid w:val="006A459E"/>
    <w:rsid w:val="006A4BC7"/>
    <w:rsid w:val="006A4EB8"/>
    <w:rsid w:val="006A55B6"/>
    <w:rsid w:val="006A58FA"/>
    <w:rsid w:val="006A62E1"/>
    <w:rsid w:val="006A6A6C"/>
    <w:rsid w:val="006A745F"/>
    <w:rsid w:val="006A794A"/>
    <w:rsid w:val="006B0DB9"/>
    <w:rsid w:val="006B18C9"/>
    <w:rsid w:val="006B1AE2"/>
    <w:rsid w:val="006B29E2"/>
    <w:rsid w:val="006B2E10"/>
    <w:rsid w:val="006B2E44"/>
    <w:rsid w:val="006B3103"/>
    <w:rsid w:val="006B343A"/>
    <w:rsid w:val="006B36D9"/>
    <w:rsid w:val="006B3812"/>
    <w:rsid w:val="006B429C"/>
    <w:rsid w:val="006B4B6D"/>
    <w:rsid w:val="006B50D5"/>
    <w:rsid w:val="006B5449"/>
    <w:rsid w:val="006B56FE"/>
    <w:rsid w:val="006B5C6A"/>
    <w:rsid w:val="006B651B"/>
    <w:rsid w:val="006B6DFA"/>
    <w:rsid w:val="006B77AE"/>
    <w:rsid w:val="006B79A9"/>
    <w:rsid w:val="006C05F1"/>
    <w:rsid w:val="006C0F3C"/>
    <w:rsid w:val="006C1814"/>
    <w:rsid w:val="006C1983"/>
    <w:rsid w:val="006C1D94"/>
    <w:rsid w:val="006C1DDC"/>
    <w:rsid w:val="006C2061"/>
    <w:rsid w:val="006C29FC"/>
    <w:rsid w:val="006C3BC0"/>
    <w:rsid w:val="006C3CCC"/>
    <w:rsid w:val="006C4249"/>
    <w:rsid w:val="006C45F8"/>
    <w:rsid w:val="006C4ADF"/>
    <w:rsid w:val="006C4C7E"/>
    <w:rsid w:val="006C4FD2"/>
    <w:rsid w:val="006C51BD"/>
    <w:rsid w:val="006C5349"/>
    <w:rsid w:val="006C57DC"/>
    <w:rsid w:val="006C636D"/>
    <w:rsid w:val="006C714B"/>
    <w:rsid w:val="006C7283"/>
    <w:rsid w:val="006C7376"/>
    <w:rsid w:val="006C7DAF"/>
    <w:rsid w:val="006C7F33"/>
    <w:rsid w:val="006D0241"/>
    <w:rsid w:val="006D07AB"/>
    <w:rsid w:val="006D1165"/>
    <w:rsid w:val="006D18D6"/>
    <w:rsid w:val="006D1DF3"/>
    <w:rsid w:val="006D291E"/>
    <w:rsid w:val="006D2A8C"/>
    <w:rsid w:val="006D2FE6"/>
    <w:rsid w:val="006D3F37"/>
    <w:rsid w:val="006D47A8"/>
    <w:rsid w:val="006D4825"/>
    <w:rsid w:val="006D50A1"/>
    <w:rsid w:val="006D5609"/>
    <w:rsid w:val="006D5EAD"/>
    <w:rsid w:val="006D5F4E"/>
    <w:rsid w:val="006D6560"/>
    <w:rsid w:val="006D68CA"/>
    <w:rsid w:val="006D6BAB"/>
    <w:rsid w:val="006D6CEC"/>
    <w:rsid w:val="006D7215"/>
    <w:rsid w:val="006E0D4F"/>
    <w:rsid w:val="006E0EF7"/>
    <w:rsid w:val="006E0FD4"/>
    <w:rsid w:val="006E158F"/>
    <w:rsid w:val="006E191A"/>
    <w:rsid w:val="006E1AA2"/>
    <w:rsid w:val="006E2CFF"/>
    <w:rsid w:val="006E37FE"/>
    <w:rsid w:val="006E3A37"/>
    <w:rsid w:val="006E405C"/>
    <w:rsid w:val="006E5556"/>
    <w:rsid w:val="006E5798"/>
    <w:rsid w:val="006E6238"/>
    <w:rsid w:val="006E752A"/>
    <w:rsid w:val="006E760C"/>
    <w:rsid w:val="006E799E"/>
    <w:rsid w:val="006E7C9C"/>
    <w:rsid w:val="006E7D07"/>
    <w:rsid w:val="006F0344"/>
    <w:rsid w:val="006F0450"/>
    <w:rsid w:val="006F0EEC"/>
    <w:rsid w:val="006F1A02"/>
    <w:rsid w:val="006F21C9"/>
    <w:rsid w:val="006F25E9"/>
    <w:rsid w:val="006F28D0"/>
    <w:rsid w:val="006F2A10"/>
    <w:rsid w:val="006F307D"/>
    <w:rsid w:val="006F35B2"/>
    <w:rsid w:val="006F3987"/>
    <w:rsid w:val="006F3FFE"/>
    <w:rsid w:val="006F4442"/>
    <w:rsid w:val="006F452D"/>
    <w:rsid w:val="006F4C75"/>
    <w:rsid w:val="006F507A"/>
    <w:rsid w:val="006F5BED"/>
    <w:rsid w:val="006F65A1"/>
    <w:rsid w:val="006F6FB1"/>
    <w:rsid w:val="006F7223"/>
    <w:rsid w:val="006F75B5"/>
    <w:rsid w:val="006F7B00"/>
    <w:rsid w:val="0070227A"/>
    <w:rsid w:val="00702B4D"/>
    <w:rsid w:val="00703875"/>
    <w:rsid w:val="007038D6"/>
    <w:rsid w:val="0070413B"/>
    <w:rsid w:val="007046DE"/>
    <w:rsid w:val="0070494D"/>
    <w:rsid w:val="00705E19"/>
    <w:rsid w:val="007067FD"/>
    <w:rsid w:val="007069C9"/>
    <w:rsid w:val="007100F6"/>
    <w:rsid w:val="0071086B"/>
    <w:rsid w:val="00710916"/>
    <w:rsid w:val="00710E40"/>
    <w:rsid w:val="007111FC"/>
    <w:rsid w:val="007115A0"/>
    <w:rsid w:val="00712F2A"/>
    <w:rsid w:val="00713771"/>
    <w:rsid w:val="007137C6"/>
    <w:rsid w:val="00713E48"/>
    <w:rsid w:val="00713E52"/>
    <w:rsid w:val="0071497F"/>
    <w:rsid w:val="00714E14"/>
    <w:rsid w:val="0071561B"/>
    <w:rsid w:val="007156E9"/>
    <w:rsid w:val="007157D7"/>
    <w:rsid w:val="0071638C"/>
    <w:rsid w:val="0071663E"/>
    <w:rsid w:val="00716890"/>
    <w:rsid w:val="00717252"/>
    <w:rsid w:val="0071741E"/>
    <w:rsid w:val="00717632"/>
    <w:rsid w:val="00717C97"/>
    <w:rsid w:val="00717EDB"/>
    <w:rsid w:val="00717F72"/>
    <w:rsid w:val="0072050D"/>
    <w:rsid w:val="00720E53"/>
    <w:rsid w:val="00722238"/>
    <w:rsid w:val="007228A0"/>
    <w:rsid w:val="00722D2E"/>
    <w:rsid w:val="00722D35"/>
    <w:rsid w:val="00722F96"/>
    <w:rsid w:val="00723BC3"/>
    <w:rsid w:val="00723C18"/>
    <w:rsid w:val="00724105"/>
    <w:rsid w:val="00724DE8"/>
    <w:rsid w:val="007255F7"/>
    <w:rsid w:val="00725A60"/>
    <w:rsid w:val="00725EE5"/>
    <w:rsid w:val="00726256"/>
    <w:rsid w:val="00727615"/>
    <w:rsid w:val="00727FF6"/>
    <w:rsid w:val="00730523"/>
    <w:rsid w:val="00730619"/>
    <w:rsid w:val="00730D50"/>
    <w:rsid w:val="00730F9B"/>
    <w:rsid w:val="00731CE1"/>
    <w:rsid w:val="00731F9C"/>
    <w:rsid w:val="007325C5"/>
    <w:rsid w:val="00732847"/>
    <w:rsid w:val="00732C39"/>
    <w:rsid w:val="0073321B"/>
    <w:rsid w:val="007338A7"/>
    <w:rsid w:val="00734DE7"/>
    <w:rsid w:val="00735646"/>
    <w:rsid w:val="00735674"/>
    <w:rsid w:val="00736626"/>
    <w:rsid w:val="00736C31"/>
    <w:rsid w:val="00736DDA"/>
    <w:rsid w:val="00737059"/>
    <w:rsid w:val="007379AC"/>
    <w:rsid w:val="007379E4"/>
    <w:rsid w:val="007401E3"/>
    <w:rsid w:val="007411F5"/>
    <w:rsid w:val="00742502"/>
    <w:rsid w:val="0074306D"/>
    <w:rsid w:val="00743156"/>
    <w:rsid w:val="00743735"/>
    <w:rsid w:val="007448CA"/>
    <w:rsid w:val="00745146"/>
    <w:rsid w:val="00745C10"/>
    <w:rsid w:val="00745F68"/>
    <w:rsid w:val="00745FE3"/>
    <w:rsid w:val="00746676"/>
    <w:rsid w:val="007466ED"/>
    <w:rsid w:val="00746716"/>
    <w:rsid w:val="00746D5C"/>
    <w:rsid w:val="007471AF"/>
    <w:rsid w:val="007471BA"/>
    <w:rsid w:val="0074744A"/>
    <w:rsid w:val="0074759E"/>
    <w:rsid w:val="00747F09"/>
    <w:rsid w:val="00747FF7"/>
    <w:rsid w:val="007500F5"/>
    <w:rsid w:val="00750238"/>
    <w:rsid w:val="007509AB"/>
    <w:rsid w:val="00750AA7"/>
    <w:rsid w:val="00751C56"/>
    <w:rsid w:val="007521F3"/>
    <w:rsid w:val="00752593"/>
    <w:rsid w:val="00752EC7"/>
    <w:rsid w:val="00752FDF"/>
    <w:rsid w:val="007534D0"/>
    <w:rsid w:val="00753510"/>
    <w:rsid w:val="0075351D"/>
    <w:rsid w:val="00753948"/>
    <w:rsid w:val="007541A7"/>
    <w:rsid w:val="00754233"/>
    <w:rsid w:val="00754D25"/>
    <w:rsid w:val="00754ECE"/>
    <w:rsid w:val="007557FA"/>
    <w:rsid w:val="00755E46"/>
    <w:rsid w:val="0075616C"/>
    <w:rsid w:val="007563DF"/>
    <w:rsid w:val="00757211"/>
    <w:rsid w:val="00757E48"/>
    <w:rsid w:val="00757FAE"/>
    <w:rsid w:val="00760321"/>
    <w:rsid w:val="00760352"/>
    <w:rsid w:val="00760810"/>
    <w:rsid w:val="00761D7E"/>
    <w:rsid w:val="0076246A"/>
    <w:rsid w:val="00762509"/>
    <w:rsid w:val="0076286D"/>
    <w:rsid w:val="00762924"/>
    <w:rsid w:val="00762DA1"/>
    <w:rsid w:val="00762FE2"/>
    <w:rsid w:val="00763613"/>
    <w:rsid w:val="00763A3A"/>
    <w:rsid w:val="00763A9E"/>
    <w:rsid w:val="00763C88"/>
    <w:rsid w:val="00763FA3"/>
    <w:rsid w:val="007643EF"/>
    <w:rsid w:val="007655A0"/>
    <w:rsid w:val="00765A68"/>
    <w:rsid w:val="00766065"/>
    <w:rsid w:val="007665E9"/>
    <w:rsid w:val="0076690C"/>
    <w:rsid w:val="00767943"/>
    <w:rsid w:val="00767D04"/>
    <w:rsid w:val="00767E4B"/>
    <w:rsid w:val="00770BEE"/>
    <w:rsid w:val="0077222E"/>
    <w:rsid w:val="0077232B"/>
    <w:rsid w:val="00772369"/>
    <w:rsid w:val="0077289B"/>
    <w:rsid w:val="00772E7E"/>
    <w:rsid w:val="007732EA"/>
    <w:rsid w:val="00773782"/>
    <w:rsid w:val="00773FBA"/>
    <w:rsid w:val="007741FF"/>
    <w:rsid w:val="007748A4"/>
    <w:rsid w:val="00774A24"/>
    <w:rsid w:val="00774E71"/>
    <w:rsid w:val="00774EAE"/>
    <w:rsid w:val="00775437"/>
    <w:rsid w:val="007754DD"/>
    <w:rsid w:val="00775539"/>
    <w:rsid w:val="00776162"/>
    <w:rsid w:val="007761C3"/>
    <w:rsid w:val="00777877"/>
    <w:rsid w:val="00777C1A"/>
    <w:rsid w:val="007800C9"/>
    <w:rsid w:val="00780254"/>
    <w:rsid w:val="007806A4"/>
    <w:rsid w:val="00780DED"/>
    <w:rsid w:val="00781044"/>
    <w:rsid w:val="0078182F"/>
    <w:rsid w:val="007825C4"/>
    <w:rsid w:val="00782B3C"/>
    <w:rsid w:val="00782EA9"/>
    <w:rsid w:val="00782EC5"/>
    <w:rsid w:val="0078371C"/>
    <w:rsid w:val="00783A96"/>
    <w:rsid w:val="00783B37"/>
    <w:rsid w:val="007841C8"/>
    <w:rsid w:val="00784265"/>
    <w:rsid w:val="0078443A"/>
    <w:rsid w:val="007845D8"/>
    <w:rsid w:val="00784F48"/>
    <w:rsid w:val="00785C6C"/>
    <w:rsid w:val="00786AA7"/>
    <w:rsid w:val="00787981"/>
    <w:rsid w:val="00790C89"/>
    <w:rsid w:val="00790D3F"/>
    <w:rsid w:val="0079163C"/>
    <w:rsid w:val="00792181"/>
    <w:rsid w:val="00792967"/>
    <w:rsid w:val="007931AC"/>
    <w:rsid w:val="00793315"/>
    <w:rsid w:val="00793EB9"/>
    <w:rsid w:val="00794524"/>
    <w:rsid w:val="00794911"/>
    <w:rsid w:val="0079507B"/>
    <w:rsid w:val="007953B4"/>
    <w:rsid w:val="007953CF"/>
    <w:rsid w:val="007954A7"/>
    <w:rsid w:val="0079779E"/>
    <w:rsid w:val="00797BE6"/>
    <w:rsid w:val="00797C88"/>
    <w:rsid w:val="00797D23"/>
    <w:rsid w:val="007A0834"/>
    <w:rsid w:val="007A1481"/>
    <w:rsid w:val="007A1633"/>
    <w:rsid w:val="007A1C49"/>
    <w:rsid w:val="007A1DE3"/>
    <w:rsid w:val="007A215A"/>
    <w:rsid w:val="007A22E5"/>
    <w:rsid w:val="007A2BE1"/>
    <w:rsid w:val="007A2D22"/>
    <w:rsid w:val="007A37C7"/>
    <w:rsid w:val="007A37E4"/>
    <w:rsid w:val="007A3CB3"/>
    <w:rsid w:val="007A427E"/>
    <w:rsid w:val="007A4669"/>
    <w:rsid w:val="007A4DAB"/>
    <w:rsid w:val="007A4FAE"/>
    <w:rsid w:val="007A5026"/>
    <w:rsid w:val="007A5D2E"/>
    <w:rsid w:val="007A6071"/>
    <w:rsid w:val="007A7DB0"/>
    <w:rsid w:val="007B0C91"/>
    <w:rsid w:val="007B0D64"/>
    <w:rsid w:val="007B138E"/>
    <w:rsid w:val="007B13B7"/>
    <w:rsid w:val="007B17A3"/>
    <w:rsid w:val="007B1C31"/>
    <w:rsid w:val="007B235E"/>
    <w:rsid w:val="007B2457"/>
    <w:rsid w:val="007B2CEA"/>
    <w:rsid w:val="007B2DC3"/>
    <w:rsid w:val="007B36E2"/>
    <w:rsid w:val="007B3AC1"/>
    <w:rsid w:val="007B4391"/>
    <w:rsid w:val="007B472C"/>
    <w:rsid w:val="007B4925"/>
    <w:rsid w:val="007B532F"/>
    <w:rsid w:val="007B534D"/>
    <w:rsid w:val="007B538E"/>
    <w:rsid w:val="007B58EA"/>
    <w:rsid w:val="007B6445"/>
    <w:rsid w:val="007B67B8"/>
    <w:rsid w:val="007B7078"/>
    <w:rsid w:val="007B718D"/>
    <w:rsid w:val="007C04AC"/>
    <w:rsid w:val="007C18D9"/>
    <w:rsid w:val="007C21AE"/>
    <w:rsid w:val="007C245B"/>
    <w:rsid w:val="007C2623"/>
    <w:rsid w:val="007C2962"/>
    <w:rsid w:val="007C2FC7"/>
    <w:rsid w:val="007C3079"/>
    <w:rsid w:val="007C3562"/>
    <w:rsid w:val="007C36AC"/>
    <w:rsid w:val="007C3BCA"/>
    <w:rsid w:val="007C3E82"/>
    <w:rsid w:val="007C4139"/>
    <w:rsid w:val="007C454E"/>
    <w:rsid w:val="007C5244"/>
    <w:rsid w:val="007C541B"/>
    <w:rsid w:val="007C6972"/>
    <w:rsid w:val="007C6EAD"/>
    <w:rsid w:val="007C760D"/>
    <w:rsid w:val="007D00FA"/>
    <w:rsid w:val="007D019A"/>
    <w:rsid w:val="007D02D9"/>
    <w:rsid w:val="007D0C2F"/>
    <w:rsid w:val="007D1727"/>
    <w:rsid w:val="007D1754"/>
    <w:rsid w:val="007D1972"/>
    <w:rsid w:val="007D27AE"/>
    <w:rsid w:val="007D2915"/>
    <w:rsid w:val="007D2BB3"/>
    <w:rsid w:val="007D2F46"/>
    <w:rsid w:val="007D3C9A"/>
    <w:rsid w:val="007D47AA"/>
    <w:rsid w:val="007D48AD"/>
    <w:rsid w:val="007D4D4A"/>
    <w:rsid w:val="007D505C"/>
    <w:rsid w:val="007D5417"/>
    <w:rsid w:val="007D5509"/>
    <w:rsid w:val="007D56F1"/>
    <w:rsid w:val="007D59CD"/>
    <w:rsid w:val="007D5A59"/>
    <w:rsid w:val="007D5C9E"/>
    <w:rsid w:val="007D6091"/>
    <w:rsid w:val="007D61A9"/>
    <w:rsid w:val="007D61E5"/>
    <w:rsid w:val="007D637C"/>
    <w:rsid w:val="007D683D"/>
    <w:rsid w:val="007D7939"/>
    <w:rsid w:val="007D79A8"/>
    <w:rsid w:val="007D7AE4"/>
    <w:rsid w:val="007D7C55"/>
    <w:rsid w:val="007E0661"/>
    <w:rsid w:val="007E0A9A"/>
    <w:rsid w:val="007E0CDB"/>
    <w:rsid w:val="007E11C1"/>
    <w:rsid w:val="007E1DA3"/>
    <w:rsid w:val="007E232F"/>
    <w:rsid w:val="007E2746"/>
    <w:rsid w:val="007E30AE"/>
    <w:rsid w:val="007E4138"/>
    <w:rsid w:val="007E422F"/>
    <w:rsid w:val="007E5D5A"/>
    <w:rsid w:val="007E630D"/>
    <w:rsid w:val="007E6EB4"/>
    <w:rsid w:val="007E7267"/>
    <w:rsid w:val="007E77ED"/>
    <w:rsid w:val="007E7863"/>
    <w:rsid w:val="007E7965"/>
    <w:rsid w:val="007F04FB"/>
    <w:rsid w:val="007F0A02"/>
    <w:rsid w:val="007F0E6C"/>
    <w:rsid w:val="007F10DC"/>
    <w:rsid w:val="007F1250"/>
    <w:rsid w:val="007F1B54"/>
    <w:rsid w:val="007F264B"/>
    <w:rsid w:val="007F3D9D"/>
    <w:rsid w:val="007F40D0"/>
    <w:rsid w:val="007F415B"/>
    <w:rsid w:val="007F42BE"/>
    <w:rsid w:val="007F48AC"/>
    <w:rsid w:val="007F4D3C"/>
    <w:rsid w:val="007F4FB1"/>
    <w:rsid w:val="007F55BE"/>
    <w:rsid w:val="007F56D5"/>
    <w:rsid w:val="007F5880"/>
    <w:rsid w:val="007F5954"/>
    <w:rsid w:val="007F5D2C"/>
    <w:rsid w:val="007F6048"/>
    <w:rsid w:val="007F6189"/>
    <w:rsid w:val="007F6520"/>
    <w:rsid w:val="007F7B06"/>
    <w:rsid w:val="007F7BC6"/>
    <w:rsid w:val="0080072B"/>
    <w:rsid w:val="00801285"/>
    <w:rsid w:val="00801629"/>
    <w:rsid w:val="00801B77"/>
    <w:rsid w:val="00803492"/>
    <w:rsid w:val="008037E8"/>
    <w:rsid w:val="008039A4"/>
    <w:rsid w:val="00803D48"/>
    <w:rsid w:val="00805299"/>
    <w:rsid w:val="008058CF"/>
    <w:rsid w:val="00805A01"/>
    <w:rsid w:val="00805CDF"/>
    <w:rsid w:val="008064C1"/>
    <w:rsid w:val="008064EA"/>
    <w:rsid w:val="0080671E"/>
    <w:rsid w:val="008069C9"/>
    <w:rsid w:val="00806EFF"/>
    <w:rsid w:val="0080702C"/>
    <w:rsid w:val="00807231"/>
    <w:rsid w:val="00810429"/>
    <w:rsid w:val="0081055E"/>
    <w:rsid w:val="008108B0"/>
    <w:rsid w:val="00810CE8"/>
    <w:rsid w:val="0081145F"/>
    <w:rsid w:val="008116C5"/>
    <w:rsid w:val="008122E0"/>
    <w:rsid w:val="00812398"/>
    <w:rsid w:val="008127A3"/>
    <w:rsid w:val="0081358A"/>
    <w:rsid w:val="00813DD4"/>
    <w:rsid w:val="00814118"/>
    <w:rsid w:val="00814305"/>
    <w:rsid w:val="00814534"/>
    <w:rsid w:val="00814ABA"/>
    <w:rsid w:val="008156A6"/>
    <w:rsid w:val="008156B7"/>
    <w:rsid w:val="008157D1"/>
    <w:rsid w:val="0081605B"/>
    <w:rsid w:val="0081635E"/>
    <w:rsid w:val="00816408"/>
    <w:rsid w:val="008170BE"/>
    <w:rsid w:val="008175C2"/>
    <w:rsid w:val="0081787F"/>
    <w:rsid w:val="00817C62"/>
    <w:rsid w:val="0082050A"/>
    <w:rsid w:val="00821190"/>
    <w:rsid w:val="008213CD"/>
    <w:rsid w:val="0082165B"/>
    <w:rsid w:val="008216CA"/>
    <w:rsid w:val="00821CBB"/>
    <w:rsid w:val="00821D7F"/>
    <w:rsid w:val="00821D94"/>
    <w:rsid w:val="008223FA"/>
    <w:rsid w:val="008227C8"/>
    <w:rsid w:val="00822BB7"/>
    <w:rsid w:val="00823197"/>
    <w:rsid w:val="008239F2"/>
    <w:rsid w:val="008247D4"/>
    <w:rsid w:val="008248CE"/>
    <w:rsid w:val="00824EAC"/>
    <w:rsid w:val="008252A8"/>
    <w:rsid w:val="008253D6"/>
    <w:rsid w:val="00825BB0"/>
    <w:rsid w:val="008260BA"/>
    <w:rsid w:val="00826C35"/>
    <w:rsid w:val="008280DA"/>
    <w:rsid w:val="008304AB"/>
    <w:rsid w:val="008317DC"/>
    <w:rsid w:val="00831D2C"/>
    <w:rsid w:val="0083212F"/>
    <w:rsid w:val="0083312A"/>
    <w:rsid w:val="008340D7"/>
    <w:rsid w:val="008341C1"/>
    <w:rsid w:val="00834D64"/>
    <w:rsid w:val="00834EE9"/>
    <w:rsid w:val="00834FA2"/>
    <w:rsid w:val="00835484"/>
    <w:rsid w:val="00835750"/>
    <w:rsid w:val="008358F7"/>
    <w:rsid w:val="00836178"/>
    <w:rsid w:val="00836A52"/>
    <w:rsid w:val="0083714A"/>
    <w:rsid w:val="008372B4"/>
    <w:rsid w:val="008373D1"/>
    <w:rsid w:val="008373D9"/>
    <w:rsid w:val="008374F6"/>
    <w:rsid w:val="00837709"/>
    <w:rsid w:val="00837A0F"/>
    <w:rsid w:val="00837B8D"/>
    <w:rsid w:val="00837E01"/>
    <w:rsid w:val="008401A2"/>
    <w:rsid w:val="008403B9"/>
    <w:rsid w:val="00840486"/>
    <w:rsid w:val="00840512"/>
    <w:rsid w:val="00840754"/>
    <w:rsid w:val="00840A55"/>
    <w:rsid w:val="00840CB6"/>
    <w:rsid w:val="008411F9"/>
    <w:rsid w:val="00841EB2"/>
    <w:rsid w:val="00842225"/>
    <w:rsid w:val="00842739"/>
    <w:rsid w:val="00842C50"/>
    <w:rsid w:val="00843142"/>
    <w:rsid w:val="00843FED"/>
    <w:rsid w:val="008441C1"/>
    <w:rsid w:val="00844310"/>
    <w:rsid w:val="008445C3"/>
    <w:rsid w:val="00844815"/>
    <w:rsid w:val="008459A0"/>
    <w:rsid w:val="00846E18"/>
    <w:rsid w:val="00847223"/>
    <w:rsid w:val="00850620"/>
    <w:rsid w:val="00850CCA"/>
    <w:rsid w:val="00850D09"/>
    <w:rsid w:val="0085148F"/>
    <w:rsid w:val="0085168A"/>
    <w:rsid w:val="00851CA1"/>
    <w:rsid w:val="008522D0"/>
    <w:rsid w:val="008529BB"/>
    <w:rsid w:val="0085315B"/>
    <w:rsid w:val="00853C89"/>
    <w:rsid w:val="008544B3"/>
    <w:rsid w:val="00854597"/>
    <w:rsid w:val="008545B2"/>
    <w:rsid w:val="008547F1"/>
    <w:rsid w:val="008554D1"/>
    <w:rsid w:val="00855938"/>
    <w:rsid w:val="00855A66"/>
    <w:rsid w:val="00856061"/>
    <w:rsid w:val="008573B8"/>
    <w:rsid w:val="00860596"/>
    <w:rsid w:val="00860697"/>
    <w:rsid w:val="00860CEC"/>
    <w:rsid w:val="00860D88"/>
    <w:rsid w:val="00860F43"/>
    <w:rsid w:val="00861344"/>
    <w:rsid w:val="008623E9"/>
    <w:rsid w:val="0086251C"/>
    <w:rsid w:val="00863075"/>
    <w:rsid w:val="008636AB"/>
    <w:rsid w:val="00863D8C"/>
    <w:rsid w:val="00863E08"/>
    <w:rsid w:val="0086497B"/>
    <w:rsid w:val="00864999"/>
    <w:rsid w:val="00864BD6"/>
    <w:rsid w:val="00864F40"/>
    <w:rsid w:val="00865329"/>
    <w:rsid w:val="00865380"/>
    <w:rsid w:val="008653C3"/>
    <w:rsid w:val="00865A37"/>
    <w:rsid w:val="00865D27"/>
    <w:rsid w:val="008673A3"/>
    <w:rsid w:val="00867833"/>
    <w:rsid w:val="00867EDC"/>
    <w:rsid w:val="00867F4C"/>
    <w:rsid w:val="008702AA"/>
    <w:rsid w:val="00870DB1"/>
    <w:rsid w:val="00870FD6"/>
    <w:rsid w:val="00871483"/>
    <w:rsid w:val="008716E6"/>
    <w:rsid w:val="00871819"/>
    <w:rsid w:val="00871DBC"/>
    <w:rsid w:val="00871DC3"/>
    <w:rsid w:val="008729AC"/>
    <w:rsid w:val="0087323F"/>
    <w:rsid w:val="0087356E"/>
    <w:rsid w:val="008735B1"/>
    <w:rsid w:val="00873CD2"/>
    <w:rsid w:val="00873E09"/>
    <w:rsid w:val="00874061"/>
    <w:rsid w:val="008744B1"/>
    <w:rsid w:val="00874CAA"/>
    <w:rsid w:val="008751D2"/>
    <w:rsid w:val="00875D2C"/>
    <w:rsid w:val="0087663E"/>
    <w:rsid w:val="0087681E"/>
    <w:rsid w:val="00876A11"/>
    <w:rsid w:val="00876A6B"/>
    <w:rsid w:val="00876A9C"/>
    <w:rsid w:val="00877054"/>
    <w:rsid w:val="008770BD"/>
    <w:rsid w:val="0088003C"/>
    <w:rsid w:val="008801B6"/>
    <w:rsid w:val="0088086A"/>
    <w:rsid w:val="00880D4A"/>
    <w:rsid w:val="00880E44"/>
    <w:rsid w:val="008810F3"/>
    <w:rsid w:val="00881308"/>
    <w:rsid w:val="00881C57"/>
    <w:rsid w:val="00881C7B"/>
    <w:rsid w:val="00882250"/>
    <w:rsid w:val="008824BA"/>
    <w:rsid w:val="00882511"/>
    <w:rsid w:val="0088267C"/>
    <w:rsid w:val="008826A5"/>
    <w:rsid w:val="00883B29"/>
    <w:rsid w:val="00883E81"/>
    <w:rsid w:val="00884148"/>
    <w:rsid w:val="00884CE6"/>
    <w:rsid w:val="008854F5"/>
    <w:rsid w:val="008854FF"/>
    <w:rsid w:val="00886039"/>
    <w:rsid w:val="00886503"/>
    <w:rsid w:val="0088663E"/>
    <w:rsid w:val="00886653"/>
    <w:rsid w:val="008869E9"/>
    <w:rsid w:val="00886AFB"/>
    <w:rsid w:val="00886FF7"/>
    <w:rsid w:val="008870F4"/>
    <w:rsid w:val="0088719B"/>
    <w:rsid w:val="008872F1"/>
    <w:rsid w:val="0088783C"/>
    <w:rsid w:val="0089002D"/>
    <w:rsid w:val="00890767"/>
    <w:rsid w:val="00890BDC"/>
    <w:rsid w:val="00890D39"/>
    <w:rsid w:val="008912E5"/>
    <w:rsid w:val="008913E9"/>
    <w:rsid w:val="008914DB"/>
    <w:rsid w:val="00891A0F"/>
    <w:rsid w:val="00891A93"/>
    <w:rsid w:val="0089226E"/>
    <w:rsid w:val="008923DA"/>
    <w:rsid w:val="00892D32"/>
    <w:rsid w:val="00893B52"/>
    <w:rsid w:val="0089469B"/>
    <w:rsid w:val="0089496C"/>
    <w:rsid w:val="008951BC"/>
    <w:rsid w:val="00895430"/>
    <w:rsid w:val="0089585D"/>
    <w:rsid w:val="00896B7C"/>
    <w:rsid w:val="0089735F"/>
    <w:rsid w:val="0089744D"/>
    <w:rsid w:val="0089757E"/>
    <w:rsid w:val="008975CD"/>
    <w:rsid w:val="00897E29"/>
    <w:rsid w:val="00897E96"/>
    <w:rsid w:val="008A00A6"/>
    <w:rsid w:val="008A06D1"/>
    <w:rsid w:val="008A0E0B"/>
    <w:rsid w:val="008A10DB"/>
    <w:rsid w:val="008A123C"/>
    <w:rsid w:val="008A1483"/>
    <w:rsid w:val="008A1A92"/>
    <w:rsid w:val="008A2E48"/>
    <w:rsid w:val="008A31C0"/>
    <w:rsid w:val="008A3397"/>
    <w:rsid w:val="008A4396"/>
    <w:rsid w:val="008A5038"/>
    <w:rsid w:val="008A5BFA"/>
    <w:rsid w:val="008A5CE2"/>
    <w:rsid w:val="008A5D7C"/>
    <w:rsid w:val="008A638C"/>
    <w:rsid w:val="008A7C80"/>
    <w:rsid w:val="008B0046"/>
    <w:rsid w:val="008B0AF7"/>
    <w:rsid w:val="008B0D5D"/>
    <w:rsid w:val="008B1E4A"/>
    <w:rsid w:val="008B1EB6"/>
    <w:rsid w:val="008B246E"/>
    <w:rsid w:val="008B2BD2"/>
    <w:rsid w:val="008B3364"/>
    <w:rsid w:val="008B36A3"/>
    <w:rsid w:val="008B36D2"/>
    <w:rsid w:val="008B4E5C"/>
    <w:rsid w:val="008B4F0C"/>
    <w:rsid w:val="008B51FC"/>
    <w:rsid w:val="008B5340"/>
    <w:rsid w:val="008B575D"/>
    <w:rsid w:val="008B603E"/>
    <w:rsid w:val="008B6147"/>
    <w:rsid w:val="008B622B"/>
    <w:rsid w:val="008B6365"/>
    <w:rsid w:val="008B66F5"/>
    <w:rsid w:val="008B6828"/>
    <w:rsid w:val="008B6BEE"/>
    <w:rsid w:val="008B6FA2"/>
    <w:rsid w:val="008B714C"/>
    <w:rsid w:val="008C0377"/>
    <w:rsid w:val="008C0A6C"/>
    <w:rsid w:val="008C1248"/>
    <w:rsid w:val="008C154F"/>
    <w:rsid w:val="008C17B4"/>
    <w:rsid w:val="008C1B4B"/>
    <w:rsid w:val="008C1E0E"/>
    <w:rsid w:val="008C2206"/>
    <w:rsid w:val="008C2662"/>
    <w:rsid w:val="008C2DAD"/>
    <w:rsid w:val="008C3EF4"/>
    <w:rsid w:val="008C4121"/>
    <w:rsid w:val="008C45BC"/>
    <w:rsid w:val="008C471C"/>
    <w:rsid w:val="008C5818"/>
    <w:rsid w:val="008C5872"/>
    <w:rsid w:val="008C59FB"/>
    <w:rsid w:val="008C605D"/>
    <w:rsid w:val="008C68D0"/>
    <w:rsid w:val="008C7073"/>
    <w:rsid w:val="008C720E"/>
    <w:rsid w:val="008D01E0"/>
    <w:rsid w:val="008D0FEA"/>
    <w:rsid w:val="008D1A35"/>
    <w:rsid w:val="008D2428"/>
    <w:rsid w:val="008D2540"/>
    <w:rsid w:val="008D2729"/>
    <w:rsid w:val="008D2816"/>
    <w:rsid w:val="008D2C4C"/>
    <w:rsid w:val="008D45CB"/>
    <w:rsid w:val="008D49B5"/>
    <w:rsid w:val="008D55C2"/>
    <w:rsid w:val="008D572B"/>
    <w:rsid w:val="008D5820"/>
    <w:rsid w:val="008D5953"/>
    <w:rsid w:val="008D5BB4"/>
    <w:rsid w:val="008D6E81"/>
    <w:rsid w:val="008D7398"/>
    <w:rsid w:val="008D7C57"/>
    <w:rsid w:val="008D7F6E"/>
    <w:rsid w:val="008E0F01"/>
    <w:rsid w:val="008E114E"/>
    <w:rsid w:val="008E136D"/>
    <w:rsid w:val="008E2509"/>
    <w:rsid w:val="008E2A31"/>
    <w:rsid w:val="008E2AB8"/>
    <w:rsid w:val="008E2DBF"/>
    <w:rsid w:val="008E329E"/>
    <w:rsid w:val="008E36BB"/>
    <w:rsid w:val="008E37F8"/>
    <w:rsid w:val="008E3B39"/>
    <w:rsid w:val="008E429B"/>
    <w:rsid w:val="008E4A5B"/>
    <w:rsid w:val="008E4AC8"/>
    <w:rsid w:val="008E4EFD"/>
    <w:rsid w:val="008E5038"/>
    <w:rsid w:val="008E5FC1"/>
    <w:rsid w:val="008E6123"/>
    <w:rsid w:val="008E6B2C"/>
    <w:rsid w:val="008E6D93"/>
    <w:rsid w:val="008E6E3F"/>
    <w:rsid w:val="008E75F1"/>
    <w:rsid w:val="008E7DFB"/>
    <w:rsid w:val="008EFBDA"/>
    <w:rsid w:val="008F04F9"/>
    <w:rsid w:val="008F0A2A"/>
    <w:rsid w:val="008F0F20"/>
    <w:rsid w:val="008F11CD"/>
    <w:rsid w:val="008F13AD"/>
    <w:rsid w:val="008F256B"/>
    <w:rsid w:val="008F26AC"/>
    <w:rsid w:val="008F27D7"/>
    <w:rsid w:val="008F2E54"/>
    <w:rsid w:val="008F314C"/>
    <w:rsid w:val="008F344A"/>
    <w:rsid w:val="008F349F"/>
    <w:rsid w:val="008F356D"/>
    <w:rsid w:val="008F3856"/>
    <w:rsid w:val="008F39D7"/>
    <w:rsid w:val="008F41E1"/>
    <w:rsid w:val="008F4346"/>
    <w:rsid w:val="008F46A9"/>
    <w:rsid w:val="008F4D49"/>
    <w:rsid w:val="008F50CA"/>
    <w:rsid w:val="008F5F6B"/>
    <w:rsid w:val="008F6001"/>
    <w:rsid w:val="008F7584"/>
    <w:rsid w:val="008F7668"/>
    <w:rsid w:val="008F76BF"/>
    <w:rsid w:val="009001C3"/>
    <w:rsid w:val="009002EE"/>
    <w:rsid w:val="009004C2"/>
    <w:rsid w:val="0090058E"/>
    <w:rsid w:val="0090250A"/>
    <w:rsid w:val="00902AF9"/>
    <w:rsid w:val="00903B26"/>
    <w:rsid w:val="009043DD"/>
    <w:rsid w:val="0090440C"/>
    <w:rsid w:val="00904DA1"/>
    <w:rsid w:val="00904DC4"/>
    <w:rsid w:val="00905A32"/>
    <w:rsid w:val="00906578"/>
    <w:rsid w:val="00907257"/>
    <w:rsid w:val="0091003E"/>
    <w:rsid w:val="0091042D"/>
    <w:rsid w:val="00911B78"/>
    <w:rsid w:val="00911F73"/>
    <w:rsid w:val="0091266B"/>
    <w:rsid w:val="00912AF7"/>
    <w:rsid w:val="00912B72"/>
    <w:rsid w:val="00912F05"/>
    <w:rsid w:val="00913352"/>
    <w:rsid w:val="00913B9B"/>
    <w:rsid w:val="009144E6"/>
    <w:rsid w:val="009147EB"/>
    <w:rsid w:val="00914BBB"/>
    <w:rsid w:val="00915057"/>
    <w:rsid w:val="00915609"/>
    <w:rsid w:val="00916F59"/>
    <w:rsid w:val="0091768C"/>
    <w:rsid w:val="00920234"/>
    <w:rsid w:val="009206F9"/>
    <w:rsid w:val="00920C57"/>
    <w:rsid w:val="0092139C"/>
    <w:rsid w:val="0092156D"/>
    <w:rsid w:val="00922860"/>
    <w:rsid w:val="00922C2A"/>
    <w:rsid w:val="00922D5D"/>
    <w:rsid w:val="009232D9"/>
    <w:rsid w:val="00923627"/>
    <w:rsid w:val="009236B3"/>
    <w:rsid w:val="009238DD"/>
    <w:rsid w:val="00923E3A"/>
    <w:rsid w:val="00923F24"/>
    <w:rsid w:val="009243D9"/>
    <w:rsid w:val="00924580"/>
    <w:rsid w:val="00924640"/>
    <w:rsid w:val="00924BD3"/>
    <w:rsid w:val="00924D7D"/>
    <w:rsid w:val="00925755"/>
    <w:rsid w:val="009265B5"/>
    <w:rsid w:val="00926F1D"/>
    <w:rsid w:val="00927918"/>
    <w:rsid w:val="00927E66"/>
    <w:rsid w:val="00930131"/>
    <w:rsid w:val="00930450"/>
    <w:rsid w:val="00930AE8"/>
    <w:rsid w:val="00930F06"/>
    <w:rsid w:val="00931207"/>
    <w:rsid w:val="009316E4"/>
    <w:rsid w:val="009319E5"/>
    <w:rsid w:val="00931E87"/>
    <w:rsid w:val="00932461"/>
    <w:rsid w:val="00932F4E"/>
    <w:rsid w:val="00933926"/>
    <w:rsid w:val="00933EC7"/>
    <w:rsid w:val="00934264"/>
    <w:rsid w:val="00935757"/>
    <w:rsid w:val="00935907"/>
    <w:rsid w:val="00936546"/>
    <w:rsid w:val="009367D5"/>
    <w:rsid w:val="0093723F"/>
    <w:rsid w:val="0093747F"/>
    <w:rsid w:val="00937AA1"/>
    <w:rsid w:val="00937C1A"/>
    <w:rsid w:val="0094098D"/>
    <w:rsid w:val="009415E8"/>
    <w:rsid w:val="009419B9"/>
    <w:rsid w:val="00942014"/>
    <w:rsid w:val="009424AE"/>
    <w:rsid w:val="00942946"/>
    <w:rsid w:val="009431A1"/>
    <w:rsid w:val="009435D0"/>
    <w:rsid w:val="0094380E"/>
    <w:rsid w:val="009444DB"/>
    <w:rsid w:val="009446ED"/>
    <w:rsid w:val="0094477F"/>
    <w:rsid w:val="00945F24"/>
    <w:rsid w:val="009461A9"/>
    <w:rsid w:val="00946B0E"/>
    <w:rsid w:val="0094708C"/>
    <w:rsid w:val="00947FE8"/>
    <w:rsid w:val="009500D3"/>
    <w:rsid w:val="00950144"/>
    <w:rsid w:val="0095021D"/>
    <w:rsid w:val="009502F2"/>
    <w:rsid w:val="0095031C"/>
    <w:rsid w:val="0095091D"/>
    <w:rsid w:val="00950BAC"/>
    <w:rsid w:val="00951129"/>
    <w:rsid w:val="009517B7"/>
    <w:rsid w:val="0095186C"/>
    <w:rsid w:val="00951922"/>
    <w:rsid w:val="009519BB"/>
    <w:rsid w:val="00951B3D"/>
    <w:rsid w:val="00951E23"/>
    <w:rsid w:val="00951EAE"/>
    <w:rsid w:val="00952007"/>
    <w:rsid w:val="00952092"/>
    <w:rsid w:val="0095222D"/>
    <w:rsid w:val="00952A2A"/>
    <w:rsid w:val="00952A2E"/>
    <w:rsid w:val="00952C06"/>
    <w:rsid w:val="00952CDA"/>
    <w:rsid w:val="00952E1A"/>
    <w:rsid w:val="009535D8"/>
    <w:rsid w:val="0095381A"/>
    <w:rsid w:val="0095409E"/>
    <w:rsid w:val="00954241"/>
    <w:rsid w:val="009542D9"/>
    <w:rsid w:val="009545A6"/>
    <w:rsid w:val="009545AA"/>
    <w:rsid w:val="00954685"/>
    <w:rsid w:val="0095518B"/>
    <w:rsid w:val="0095697E"/>
    <w:rsid w:val="00957112"/>
    <w:rsid w:val="009579B1"/>
    <w:rsid w:val="0096009F"/>
    <w:rsid w:val="009616A1"/>
    <w:rsid w:val="0096189A"/>
    <w:rsid w:val="00961FDD"/>
    <w:rsid w:val="009624A5"/>
    <w:rsid w:val="00964083"/>
    <w:rsid w:val="0096449C"/>
    <w:rsid w:val="009645DC"/>
    <w:rsid w:val="00965107"/>
    <w:rsid w:val="009654A8"/>
    <w:rsid w:val="00965508"/>
    <w:rsid w:val="00965D83"/>
    <w:rsid w:val="009665E3"/>
    <w:rsid w:val="00966E35"/>
    <w:rsid w:val="00966F23"/>
    <w:rsid w:val="0097016B"/>
    <w:rsid w:val="0097085F"/>
    <w:rsid w:val="009711BE"/>
    <w:rsid w:val="00971556"/>
    <w:rsid w:val="00971AD8"/>
    <w:rsid w:val="009726FB"/>
    <w:rsid w:val="009730F5"/>
    <w:rsid w:val="0097380A"/>
    <w:rsid w:val="0097456C"/>
    <w:rsid w:val="009747C8"/>
    <w:rsid w:val="0097482E"/>
    <w:rsid w:val="00974BC8"/>
    <w:rsid w:val="00975099"/>
    <w:rsid w:val="00975D5D"/>
    <w:rsid w:val="00976012"/>
    <w:rsid w:val="00976564"/>
    <w:rsid w:val="00976E64"/>
    <w:rsid w:val="009777CC"/>
    <w:rsid w:val="009778BC"/>
    <w:rsid w:val="00977917"/>
    <w:rsid w:val="00977ABF"/>
    <w:rsid w:val="00977BAD"/>
    <w:rsid w:val="00977BD7"/>
    <w:rsid w:val="00977F52"/>
    <w:rsid w:val="009804AD"/>
    <w:rsid w:val="009805B4"/>
    <w:rsid w:val="009815E4"/>
    <w:rsid w:val="00982329"/>
    <w:rsid w:val="00982B30"/>
    <w:rsid w:val="00982C81"/>
    <w:rsid w:val="00982F01"/>
    <w:rsid w:val="009831AA"/>
    <w:rsid w:val="00983507"/>
    <w:rsid w:val="009838D0"/>
    <w:rsid w:val="00983EF4"/>
    <w:rsid w:val="009842CF"/>
    <w:rsid w:val="00984592"/>
    <w:rsid w:val="0098484B"/>
    <w:rsid w:val="0098494A"/>
    <w:rsid w:val="0098517F"/>
    <w:rsid w:val="009856B1"/>
    <w:rsid w:val="00985763"/>
    <w:rsid w:val="009858CB"/>
    <w:rsid w:val="00985990"/>
    <w:rsid w:val="00985CCB"/>
    <w:rsid w:val="009864FB"/>
    <w:rsid w:val="00986D22"/>
    <w:rsid w:val="00987190"/>
    <w:rsid w:val="00987222"/>
    <w:rsid w:val="00990CC0"/>
    <w:rsid w:val="00990CC7"/>
    <w:rsid w:val="00991065"/>
    <w:rsid w:val="00991236"/>
    <w:rsid w:val="00992538"/>
    <w:rsid w:val="0099282C"/>
    <w:rsid w:val="00993173"/>
    <w:rsid w:val="00993322"/>
    <w:rsid w:val="00994903"/>
    <w:rsid w:val="00994DE8"/>
    <w:rsid w:val="00995310"/>
    <w:rsid w:val="009953B2"/>
    <w:rsid w:val="00995AC8"/>
    <w:rsid w:val="00995D6B"/>
    <w:rsid w:val="00995F1C"/>
    <w:rsid w:val="00996E33"/>
    <w:rsid w:val="009973E3"/>
    <w:rsid w:val="0099747A"/>
    <w:rsid w:val="009977BA"/>
    <w:rsid w:val="00997893"/>
    <w:rsid w:val="00997967"/>
    <w:rsid w:val="00997F6D"/>
    <w:rsid w:val="009A25C0"/>
    <w:rsid w:val="009A2CAA"/>
    <w:rsid w:val="009A2FDF"/>
    <w:rsid w:val="009A3025"/>
    <w:rsid w:val="009A42CA"/>
    <w:rsid w:val="009A432B"/>
    <w:rsid w:val="009A4964"/>
    <w:rsid w:val="009A6631"/>
    <w:rsid w:val="009A6686"/>
    <w:rsid w:val="009A7843"/>
    <w:rsid w:val="009A7E39"/>
    <w:rsid w:val="009A7FC9"/>
    <w:rsid w:val="009A7FCD"/>
    <w:rsid w:val="009B0825"/>
    <w:rsid w:val="009B0F53"/>
    <w:rsid w:val="009B1634"/>
    <w:rsid w:val="009B1989"/>
    <w:rsid w:val="009B2D04"/>
    <w:rsid w:val="009B35BF"/>
    <w:rsid w:val="009B38C6"/>
    <w:rsid w:val="009B439E"/>
    <w:rsid w:val="009B5095"/>
    <w:rsid w:val="009B6559"/>
    <w:rsid w:val="009B705D"/>
    <w:rsid w:val="009C00B6"/>
    <w:rsid w:val="009C0139"/>
    <w:rsid w:val="009C05DD"/>
    <w:rsid w:val="009C0EA7"/>
    <w:rsid w:val="009C1531"/>
    <w:rsid w:val="009C1D24"/>
    <w:rsid w:val="009C2300"/>
    <w:rsid w:val="009C2741"/>
    <w:rsid w:val="009C27F0"/>
    <w:rsid w:val="009C2DB9"/>
    <w:rsid w:val="009C2FD7"/>
    <w:rsid w:val="009C380A"/>
    <w:rsid w:val="009C38A7"/>
    <w:rsid w:val="009C3A55"/>
    <w:rsid w:val="009C3A89"/>
    <w:rsid w:val="009C51D9"/>
    <w:rsid w:val="009C5596"/>
    <w:rsid w:val="009C637A"/>
    <w:rsid w:val="009C71A0"/>
    <w:rsid w:val="009C7554"/>
    <w:rsid w:val="009C77D5"/>
    <w:rsid w:val="009D0880"/>
    <w:rsid w:val="009D0BC8"/>
    <w:rsid w:val="009D1F10"/>
    <w:rsid w:val="009D21CF"/>
    <w:rsid w:val="009D23FF"/>
    <w:rsid w:val="009D24D6"/>
    <w:rsid w:val="009D26B7"/>
    <w:rsid w:val="009D3FB7"/>
    <w:rsid w:val="009D4635"/>
    <w:rsid w:val="009D5820"/>
    <w:rsid w:val="009D5829"/>
    <w:rsid w:val="009D5BE0"/>
    <w:rsid w:val="009D5F9F"/>
    <w:rsid w:val="009D644A"/>
    <w:rsid w:val="009D6B0A"/>
    <w:rsid w:val="009D746B"/>
    <w:rsid w:val="009D7B5B"/>
    <w:rsid w:val="009D7E41"/>
    <w:rsid w:val="009E0D9D"/>
    <w:rsid w:val="009E288A"/>
    <w:rsid w:val="009E2E32"/>
    <w:rsid w:val="009E3017"/>
    <w:rsid w:val="009E31D5"/>
    <w:rsid w:val="009E359A"/>
    <w:rsid w:val="009E4313"/>
    <w:rsid w:val="009E453A"/>
    <w:rsid w:val="009E4B59"/>
    <w:rsid w:val="009E5158"/>
    <w:rsid w:val="009E6310"/>
    <w:rsid w:val="009E63A2"/>
    <w:rsid w:val="009E64C5"/>
    <w:rsid w:val="009E671C"/>
    <w:rsid w:val="009E698D"/>
    <w:rsid w:val="009E6C40"/>
    <w:rsid w:val="009E77FF"/>
    <w:rsid w:val="009E7A1E"/>
    <w:rsid w:val="009F0A20"/>
    <w:rsid w:val="009F0DE6"/>
    <w:rsid w:val="009F1673"/>
    <w:rsid w:val="009F1D12"/>
    <w:rsid w:val="009F2012"/>
    <w:rsid w:val="009F21C9"/>
    <w:rsid w:val="009F236E"/>
    <w:rsid w:val="009F2413"/>
    <w:rsid w:val="009F29C1"/>
    <w:rsid w:val="009F2AE0"/>
    <w:rsid w:val="009F31FE"/>
    <w:rsid w:val="009F32A1"/>
    <w:rsid w:val="009F340B"/>
    <w:rsid w:val="009F3698"/>
    <w:rsid w:val="009F578D"/>
    <w:rsid w:val="009F58EB"/>
    <w:rsid w:val="009F6405"/>
    <w:rsid w:val="009F64AF"/>
    <w:rsid w:val="009F683A"/>
    <w:rsid w:val="009F7412"/>
    <w:rsid w:val="00A00AD3"/>
    <w:rsid w:val="00A0157A"/>
    <w:rsid w:val="00A01FE2"/>
    <w:rsid w:val="00A02056"/>
    <w:rsid w:val="00A02625"/>
    <w:rsid w:val="00A02EEF"/>
    <w:rsid w:val="00A03303"/>
    <w:rsid w:val="00A03469"/>
    <w:rsid w:val="00A03AC2"/>
    <w:rsid w:val="00A0436C"/>
    <w:rsid w:val="00A05019"/>
    <w:rsid w:val="00A053F2"/>
    <w:rsid w:val="00A05A77"/>
    <w:rsid w:val="00A061A9"/>
    <w:rsid w:val="00A0637B"/>
    <w:rsid w:val="00A06448"/>
    <w:rsid w:val="00A064E8"/>
    <w:rsid w:val="00A06C8E"/>
    <w:rsid w:val="00A078D9"/>
    <w:rsid w:val="00A0790C"/>
    <w:rsid w:val="00A10308"/>
    <w:rsid w:val="00A1054B"/>
    <w:rsid w:val="00A11605"/>
    <w:rsid w:val="00A11F2B"/>
    <w:rsid w:val="00A12469"/>
    <w:rsid w:val="00A13461"/>
    <w:rsid w:val="00A137D2"/>
    <w:rsid w:val="00A13A9A"/>
    <w:rsid w:val="00A13F62"/>
    <w:rsid w:val="00A1568D"/>
    <w:rsid w:val="00A159DD"/>
    <w:rsid w:val="00A1678E"/>
    <w:rsid w:val="00A16C30"/>
    <w:rsid w:val="00A172BA"/>
    <w:rsid w:val="00A1748A"/>
    <w:rsid w:val="00A17E8B"/>
    <w:rsid w:val="00A20082"/>
    <w:rsid w:val="00A20191"/>
    <w:rsid w:val="00A204F2"/>
    <w:rsid w:val="00A20D2D"/>
    <w:rsid w:val="00A216E7"/>
    <w:rsid w:val="00A2229B"/>
    <w:rsid w:val="00A22CBD"/>
    <w:rsid w:val="00A22EBD"/>
    <w:rsid w:val="00A23018"/>
    <w:rsid w:val="00A23C77"/>
    <w:rsid w:val="00A24407"/>
    <w:rsid w:val="00A24BEE"/>
    <w:rsid w:val="00A24CB4"/>
    <w:rsid w:val="00A24CC1"/>
    <w:rsid w:val="00A25335"/>
    <w:rsid w:val="00A25457"/>
    <w:rsid w:val="00A26470"/>
    <w:rsid w:val="00A26778"/>
    <w:rsid w:val="00A26887"/>
    <w:rsid w:val="00A268E2"/>
    <w:rsid w:val="00A272AD"/>
    <w:rsid w:val="00A27552"/>
    <w:rsid w:val="00A2755A"/>
    <w:rsid w:val="00A30290"/>
    <w:rsid w:val="00A3055F"/>
    <w:rsid w:val="00A3241E"/>
    <w:rsid w:val="00A327C3"/>
    <w:rsid w:val="00A32CBB"/>
    <w:rsid w:val="00A332A1"/>
    <w:rsid w:val="00A33363"/>
    <w:rsid w:val="00A3358D"/>
    <w:rsid w:val="00A337D7"/>
    <w:rsid w:val="00A33B00"/>
    <w:rsid w:val="00A3421A"/>
    <w:rsid w:val="00A344A3"/>
    <w:rsid w:val="00A344A7"/>
    <w:rsid w:val="00A3518E"/>
    <w:rsid w:val="00A352AE"/>
    <w:rsid w:val="00A360D3"/>
    <w:rsid w:val="00A374CE"/>
    <w:rsid w:val="00A37889"/>
    <w:rsid w:val="00A379E7"/>
    <w:rsid w:val="00A37B74"/>
    <w:rsid w:val="00A37D8F"/>
    <w:rsid w:val="00A400E3"/>
    <w:rsid w:val="00A400F0"/>
    <w:rsid w:val="00A40A69"/>
    <w:rsid w:val="00A40BD4"/>
    <w:rsid w:val="00A42AB8"/>
    <w:rsid w:val="00A43C65"/>
    <w:rsid w:val="00A447E5"/>
    <w:rsid w:val="00A448DF"/>
    <w:rsid w:val="00A459C3"/>
    <w:rsid w:val="00A45BAA"/>
    <w:rsid w:val="00A45D12"/>
    <w:rsid w:val="00A4704D"/>
    <w:rsid w:val="00A50ECC"/>
    <w:rsid w:val="00A51112"/>
    <w:rsid w:val="00A51F70"/>
    <w:rsid w:val="00A51F93"/>
    <w:rsid w:val="00A51FF7"/>
    <w:rsid w:val="00A525B9"/>
    <w:rsid w:val="00A529A1"/>
    <w:rsid w:val="00A529B4"/>
    <w:rsid w:val="00A5328B"/>
    <w:rsid w:val="00A53CC4"/>
    <w:rsid w:val="00A540C0"/>
    <w:rsid w:val="00A54BBA"/>
    <w:rsid w:val="00A54F64"/>
    <w:rsid w:val="00A55410"/>
    <w:rsid w:val="00A5594C"/>
    <w:rsid w:val="00A5611C"/>
    <w:rsid w:val="00A56350"/>
    <w:rsid w:val="00A56650"/>
    <w:rsid w:val="00A56CB4"/>
    <w:rsid w:val="00A600D2"/>
    <w:rsid w:val="00A60280"/>
    <w:rsid w:val="00A60367"/>
    <w:rsid w:val="00A606D7"/>
    <w:rsid w:val="00A61337"/>
    <w:rsid w:val="00A6144E"/>
    <w:rsid w:val="00A6192A"/>
    <w:rsid w:val="00A61B71"/>
    <w:rsid w:val="00A6248C"/>
    <w:rsid w:val="00A62A1B"/>
    <w:rsid w:val="00A62D6C"/>
    <w:rsid w:val="00A63F64"/>
    <w:rsid w:val="00A63F81"/>
    <w:rsid w:val="00A6452C"/>
    <w:rsid w:val="00A64A0F"/>
    <w:rsid w:val="00A64BDA"/>
    <w:rsid w:val="00A64CA4"/>
    <w:rsid w:val="00A64D01"/>
    <w:rsid w:val="00A6553A"/>
    <w:rsid w:val="00A6592A"/>
    <w:rsid w:val="00A65CF9"/>
    <w:rsid w:val="00A65DF7"/>
    <w:rsid w:val="00A66193"/>
    <w:rsid w:val="00A66ACD"/>
    <w:rsid w:val="00A66CDF"/>
    <w:rsid w:val="00A66F51"/>
    <w:rsid w:val="00A67599"/>
    <w:rsid w:val="00A675B9"/>
    <w:rsid w:val="00A703A2"/>
    <w:rsid w:val="00A70403"/>
    <w:rsid w:val="00A70946"/>
    <w:rsid w:val="00A70C8E"/>
    <w:rsid w:val="00A712AB"/>
    <w:rsid w:val="00A71493"/>
    <w:rsid w:val="00A717C4"/>
    <w:rsid w:val="00A718A6"/>
    <w:rsid w:val="00A729D0"/>
    <w:rsid w:val="00A73BC7"/>
    <w:rsid w:val="00A74035"/>
    <w:rsid w:val="00A74591"/>
    <w:rsid w:val="00A745B1"/>
    <w:rsid w:val="00A74831"/>
    <w:rsid w:val="00A74C31"/>
    <w:rsid w:val="00A750F0"/>
    <w:rsid w:val="00A751E7"/>
    <w:rsid w:val="00A7545E"/>
    <w:rsid w:val="00A75B7E"/>
    <w:rsid w:val="00A75E91"/>
    <w:rsid w:val="00A76995"/>
    <w:rsid w:val="00A7700D"/>
    <w:rsid w:val="00A77464"/>
    <w:rsid w:val="00A77981"/>
    <w:rsid w:val="00A77B7B"/>
    <w:rsid w:val="00A77C54"/>
    <w:rsid w:val="00A8009B"/>
    <w:rsid w:val="00A80905"/>
    <w:rsid w:val="00A80EBC"/>
    <w:rsid w:val="00A8100E"/>
    <w:rsid w:val="00A81BB4"/>
    <w:rsid w:val="00A8207E"/>
    <w:rsid w:val="00A82D8F"/>
    <w:rsid w:val="00A8327A"/>
    <w:rsid w:val="00A8342B"/>
    <w:rsid w:val="00A835C1"/>
    <w:rsid w:val="00A83E21"/>
    <w:rsid w:val="00A8569E"/>
    <w:rsid w:val="00A85A59"/>
    <w:rsid w:val="00A85AE2"/>
    <w:rsid w:val="00A85C40"/>
    <w:rsid w:val="00A85DD8"/>
    <w:rsid w:val="00A8602F"/>
    <w:rsid w:val="00A86364"/>
    <w:rsid w:val="00A863F3"/>
    <w:rsid w:val="00A87180"/>
    <w:rsid w:val="00A871D8"/>
    <w:rsid w:val="00A87E67"/>
    <w:rsid w:val="00A9041F"/>
    <w:rsid w:val="00A905AC"/>
    <w:rsid w:val="00A90F25"/>
    <w:rsid w:val="00A9104D"/>
    <w:rsid w:val="00A91133"/>
    <w:rsid w:val="00A91FA9"/>
    <w:rsid w:val="00A92022"/>
    <w:rsid w:val="00A9249F"/>
    <w:rsid w:val="00A92AE8"/>
    <w:rsid w:val="00A93122"/>
    <w:rsid w:val="00A93424"/>
    <w:rsid w:val="00A93FC5"/>
    <w:rsid w:val="00A946C4"/>
    <w:rsid w:val="00A95217"/>
    <w:rsid w:val="00A961AB"/>
    <w:rsid w:val="00A9649B"/>
    <w:rsid w:val="00A9655D"/>
    <w:rsid w:val="00A96699"/>
    <w:rsid w:val="00A96775"/>
    <w:rsid w:val="00A96AC1"/>
    <w:rsid w:val="00A971F8"/>
    <w:rsid w:val="00A97244"/>
    <w:rsid w:val="00A97975"/>
    <w:rsid w:val="00A97DB8"/>
    <w:rsid w:val="00AA0238"/>
    <w:rsid w:val="00AA0743"/>
    <w:rsid w:val="00AA10A8"/>
    <w:rsid w:val="00AA1858"/>
    <w:rsid w:val="00AA23AE"/>
    <w:rsid w:val="00AA24D9"/>
    <w:rsid w:val="00AA2773"/>
    <w:rsid w:val="00AA2E26"/>
    <w:rsid w:val="00AA350F"/>
    <w:rsid w:val="00AA36F2"/>
    <w:rsid w:val="00AA3891"/>
    <w:rsid w:val="00AA3E03"/>
    <w:rsid w:val="00AA429D"/>
    <w:rsid w:val="00AA45DE"/>
    <w:rsid w:val="00AA4999"/>
    <w:rsid w:val="00AA4ACE"/>
    <w:rsid w:val="00AA4DEC"/>
    <w:rsid w:val="00AA510F"/>
    <w:rsid w:val="00AA5145"/>
    <w:rsid w:val="00AA5663"/>
    <w:rsid w:val="00AA5CC7"/>
    <w:rsid w:val="00AA6CFC"/>
    <w:rsid w:val="00AA7630"/>
    <w:rsid w:val="00AA79D6"/>
    <w:rsid w:val="00AA7DC0"/>
    <w:rsid w:val="00AB1567"/>
    <w:rsid w:val="00AB18C8"/>
    <w:rsid w:val="00AB1C9A"/>
    <w:rsid w:val="00AB249A"/>
    <w:rsid w:val="00AB2C1A"/>
    <w:rsid w:val="00AB2D60"/>
    <w:rsid w:val="00AB2F4D"/>
    <w:rsid w:val="00AB3029"/>
    <w:rsid w:val="00AB3661"/>
    <w:rsid w:val="00AB3D90"/>
    <w:rsid w:val="00AB3FA5"/>
    <w:rsid w:val="00AB415A"/>
    <w:rsid w:val="00AB4B48"/>
    <w:rsid w:val="00AB4D9F"/>
    <w:rsid w:val="00AB5758"/>
    <w:rsid w:val="00AB58A9"/>
    <w:rsid w:val="00AB5AE6"/>
    <w:rsid w:val="00AB655D"/>
    <w:rsid w:val="00AB71F6"/>
    <w:rsid w:val="00AB7CD9"/>
    <w:rsid w:val="00AC0977"/>
    <w:rsid w:val="00AC1F91"/>
    <w:rsid w:val="00AC26A7"/>
    <w:rsid w:val="00AC2798"/>
    <w:rsid w:val="00AC2C5D"/>
    <w:rsid w:val="00AC2DCD"/>
    <w:rsid w:val="00AC2FB5"/>
    <w:rsid w:val="00AC302E"/>
    <w:rsid w:val="00AC34C6"/>
    <w:rsid w:val="00AC3512"/>
    <w:rsid w:val="00AC37A7"/>
    <w:rsid w:val="00AC4160"/>
    <w:rsid w:val="00AC42B5"/>
    <w:rsid w:val="00AC4D59"/>
    <w:rsid w:val="00AC4E63"/>
    <w:rsid w:val="00AC60C7"/>
    <w:rsid w:val="00AC62AA"/>
    <w:rsid w:val="00AC663D"/>
    <w:rsid w:val="00AC6878"/>
    <w:rsid w:val="00AC777D"/>
    <w:rsid w:val="00AC7D03"/>
    <w:rsid w:val="00AD02EC"/>
    <w:rsid w:val="00AD1117"/>
    <w:rsid w:val="00AD116C"/>
    <w:rsid w:val="00AD1473"/>
    <w:rsid w:val="00AD171C"/>
    <w:rsid w:val="00AD18D8"/>
    <w:rsid w:val="00AD24F3"/>
    <w:rsid w:val="00AD25B2"/>
    <w:rsid w:val="00AD28AF"/>
    <w:rsid w:val="00AD2B58"/>
    <w:rsid w:val="00AD2B5A"/>
    <w:rsid w:val="00AD2FE9"/>
    <w:rsid w:val="00AD3CB4"/>
    <w:rsid w:val="00AD44C0"/>
    <w:rsid w:val="00AD4663"/>
    <w:rsid w:val="00AD5459"/>
    <w:rsid w:val="00AD580B"/>
    <w:rsid w:val="00AD58D3"/>
    <w:rsid w:val="00AD6607"/>
    <w:rsid w:val="00AD6CEF"/>
    <w:rsid w:val="00AD79AD"/>
    <w:rsid w:val="00AD7D3F"/>
    <w:rsid w:val="00AE06CE"/>
    <w:rsid w:val="00AE16F6"/>
    <w:rsid w:val="00AE19E9"/>
    <w:rsid w:val="00AE1BE3"/>
    <w:rsid w:val="00AE28D4"/>
    <w:rsid w:val="00AE3667"/>
    <w:rsid w:val="00AE38BA"/>
    <w:rsid w:val="00AE434B"/>
    <w:rsid w:val="00AE4403"/>
    <w:rsid w:val="00AE4493"/>
    <w:rsid w:val="00AE4FCF"/>
    <w:rsid w:val="00AE5102"/>
    <w:rsid w:val="00AE52B9"/>
    <w:rsid w:val="00AE5C37"/>
    <w:rsid w:val="00AE5ECE"/>
    <w:rsid w:val="00AE7EBA"/>
    <w:rsid w:val="00AF03FF"/>
    <w:rsid w:val="00AF06A5"/>
    <w:rsid w:val="00AF0885"/>
    <w:rsid w:val="00AF0903"/>
    <w:rsid w:val="00AF12EB"/>
    <w:rsid w:val="00AF13BA"/>
    <w:rsid w:val="00AF16EA"/>
    <w:rsid w:val="00AF1939"/>
    <w:rsid w:val="00AF22DE"/>
    <w:rsid w:val="00AF294F"/>
    <w:rsid w:val="00AF2965"/>
    <w:rsid w:val="00AF3223"/>
    <w:rsid w:val="00AF3671"/>
    <w:rsid w:val="00AF372D"/>
    <w:rsid w:val="00AF3A66"/>
    <w:rsid w:val="00AF3A8C"/>
    <w:rsid w:val="00AF4509"/>
    <w:rsid w:val="00AF4596"/>
    <w:rsid w:val="00AF45E8"/>
    <w:rsid w:val="00AF52E6"/>
    <w:rsid w:val="00AF58C9"/>
    <w:rsid w:val="00AF59F9"/>
    <w:rsid w:val="00AF5D6D"/>
    <w:rsid w:val="00AF65DC"/>
    <w:rsid w:val="00AF7173"/>
    <w:rsid w:val="00AF76E1"/>
    <w:rsid w:val="00AF7939"/>
    <w:rsid w:val="00B00383"/>
    <w:rsid w:val="00B00611"/>
    <w:rsid w:val="00B00640"/>
    <w:rsid w:val="00B00729"/>
    <w:rsid w:val="00B00ACE"/>
    <w:rsid w:val="00B011E4"/>
    <w:rsid w:val="00B01534"/>
    <w:rsid w:val="00B02183"/>
    <w:rsid w:val="00B03345"/>
    <w:rsid w:val="00B03849"/>
    <w:rsid w:val="00B03B63"/>
    <w:rsid w:val="00B03ED9"/>
    <w:rsid w:val="00B0421F"/>
    <w:rsid w:val="00B043AF"/>
    <w:rsid w:val="00B04569"/>
    <w:rsid w:val="00B04B89"/>
    <w:rsid w:val="00B051B5"/>
    <w:rsid w:val="00B054FA"/>
    <w:rsid w:val="00B057BB"/>
    <w:rsid w:val="00B05FC6"/>
    <w:rsid w:val="00B0631A"/>
    <w:rsid w:val="00B068A9"/>
    <w:rsid w:val="00B071AD"/>
    <w:rsid w:val="00B0739A"/>
    <w:rsid w:val="00B074AC"/>
    <w:rsid w:val="00B127B6"/>
    <w:rsid w:val="00B1304A"/>
    <w:rsid w:val="00B1310A"/>
    <w:rsid w:val="00B13365"/>
    <w:rsid w:val="00B13AAD"/>
    <w:rsid w:val="00B141D5"/>
    <w:rsid w:val="00B14389"/>
    <w:rsid w:val="00B14BBE"/>
    <w:rsid w:val="00B1540A"/>
    <w:rsid w:val="00B1570E"/>
    <w:rsid w:val="00B1593B"/>
    <w:rsid w:val="00B166B9"/>
    <w:rsid w:val="00B2112E"/>
    <w:rsid w:val="00B21B07"/>
    <w:rsid w:val="00B21EFC"/>
    <w:rsid w:val="00B22102"/>
    <w:rsid w:val="00B2224D"/>
    <w:rsid w:val="00B22367"/>
    <w:rsid w:val="00B22596"/>
    <w:rsid w:val="00B2285C"/>
    <w:rsid w:val="00B22F40"/>
    <w:rsid w:val="00B23319"/>
    <w:rsid w:val="00B23776"/>
    <w:rsid w:val="00B23A29"/>
    <w:rsid w:val="00B23CCE"/>
    <w:rsid w:val="00B242F8"/>
    <w:rsid w:val="00B2481F"/>
    <w:rsid w:val="00B24935"/>
    <w:rsid w:val="00B259A5"/>
    <w:rsid w:val="00B25BDF"/>
    <w:rsid w:val="00B25F86"/>
    <w:rsid w:val="00B26369"/>
    <w:rsid w:val="00B26729"/>
    <w:rsid w:val="00B2695D"/>
    <w:rsid w:val="00B27D77"/>
    <w:rsid w:val="00B303F1"/>
    <w:rsid w:val="00B30506"/>
    <w:rsid w:val="00B3056C"/>
    <w:rsid w:val="00B309EA"/>
    <w:rsid w:val="00B30C39"/>
    <w:rsid w:val="00B3128B"/>
    <w:rsid w:val="00B31334"/>
    <w:rsid w:val="00B313F7"/>
    <w:rsid w:val="00B31599"/>
    <w:rsid w:val="00B31ABE"/>
    <w:rsid w:val="00B31B45"/>
    <w:rsid w:val="00B329E1"/>
    <w:rsid w:val="00B33003"/>
    <w:rsid w:val="00B33208"/>
    <w:rsid w:val="00B33A7B"/>
    <w:rsid w:val="00B33BB8"/>
    <w:rsid w:val="00B33EFC"/>
    <w:rsid w:val="00B34082"/>
    <w:rsid w:val="00B344F5"/>
    <w:rsid w:val="00B34ED6"/>
    <w:rsid w:val="00B34FAB"/>
    <w:rsid w:val="00B350B0"/>
    <w:rsid w:val="00B35555"/>
    <w:rsid w:val="00B35EFD"/>
    <w:rsid w:val="00B36171"/>
    <w:rsid w:val="00B361A8"/>
    <w:rsid w:val="00B3622E"/>
    <w:rsid w:val="00B36D42"/>
    <w:rsid w:val="00B3738D"/>
    <w:rsid w:val="00B379F6"/>
    <w:rsid w:val="00B40186"/>
    <w:rsid w:val="00B40E9F"/>
    <w:rsid w:val="00B414F1"/>
    <w:rsid w:val="00B415D1"/>
    <w:rsid w:val="00B42520"/>
    <w:rsid w:val="00B42670"/>
    <w:rsid w:val="00B42F13"/>
    <w:rsid w:val="00B4321B"/>
    <w:rsid w:val="00B433E7"/>
    <w:rsid w:val="00B435C9"/>
    <w:rsid w:val="00B4378A"/>
    <w:rsid w:val="00B43AD0"/>
    <w:rsid w:val="00B441ED"/>
    <w:rsid w:val="00B445BD"/>
    <w:rsid w:val="00B44818"/>
    <w:rsid w:val="00B45A62"/>
    <w:rsid w:val="00B462C8"/>
    <w:rsid w:val="00B4652B"/>
    <w:rsid w:val="00B467D3"/>
    <w:rsid w:val="00B46A74"/>
    <w:rsid w:val="00B46F87"/>
    <w:rsid w:val="00B473A4"/>
    <w:rsid w:val="00B47C19"/>
    <w:rsid w:val="00B47F57"/>
    <w:rsid w:val="00B47F81"/>
    <w:rsid w:val="00B5075E"/>
    <w:rsid w:val="00B50CF6"/>
    <w:rsid w:val="00B5174F"/>
    <w:rsid w:val="00B51D65"/>
    <w:rsid w:val="00B52397"/>
    <w:rsid w:val="00B5243E"/>
    <w:rsid w:val="00B525C1"/>
    <w:rsid w:val="00B525C4"/>
    <w:rsid w:val="00B52A15"/>
    <w:rsid w:val="00B534E2"/>
    <w:rsid w:val="00B5394B"/>
    <w:rsid w:val="00B53E3F"/>
    <w:rsid w:val="00B5460E"/>
    <w:rsid w:val="00B54CA3"/>
    <w:rsid w:val="00B55420"/>
    <w:rsid w:val="00B55B8C"/>
    <w:rsid w:val="00B55BF0"/>
    <w:rsid w:val="00B55DCF"/>
    <w:rsid w:val="00B56B39"/>
    <w:rsid w:val="00B56B47"/>
    <w:rsid w:val="00B56CCE"/>
    <w:rsid w:val="00B56DDD"/>
    <w:rsid w:val="00B57408"/>
    <w:rsid w:val="00B576B3"/>
    <w:rsid w:val="00B608D5"/>
    <w:rsid w:val="00B60C85"/>
    <w:rsid w:val="00B61C2B"/>
    <w:rsid w:val="00B62402"/>
    <w:rsid w:val="00B62DBC"/>
    <w:rsid w:val="00B63980"/>
    <w:rsid w:val="00B64752"/>
    <w:rsid w:val="00B64C08"/>
    <w:rsid w:val="00B65154"/>
    <w:rsid w:val="00B6634E"/>
    <w:rsid w:val="00B66B7B"/>
    <w:rsid w:val="00B66EE9"/>
    <w:rsid w:val="00B70F7F"/>
    <w:rsid w:val="00B70FEF"/>
    <w:rsid w:val="00B71896"/>
    <w:rsid w:val="00B7199D"/>
    <w:rsid w:val="00B71BD6"/>
    <w:rsid w:val="00B7355B"/>
    <w:rsid w:val="00B746F6"/>
    <w:rsid w:val="00B74B09"/>
    <w:rsid w:val="00B74D4A"/>
    <w:rsid w:val="00B75BBF"/>
    <w:rsid w:val="00B7625F"/>
    <w:rsid w:val="00B76C22"/>
    <w:rsid w:val="00B773C7"/>
    <w:rsid w:val="00B77820"/>
    <w:rsid w:val="00B77C41"/>
    <w:rsid w:val="00B77C57"/>
    <w:rsid w:val="00B80319"/>
    <w:rsid w:val="00B8036B"/>
    <w:rsid w:val="00B80577"/>
    <w:rsid w:val="00B815A5"/>
    <w:rsid w:val="00B81669"/>
    <w:rsid w:val="00B81D27"/>
    <w:rsid w:val="00B82077"/>
    <w:rsid w:val="00B822AD"/>
    <w:rsid w:val="00B8245D"/>
    <w:rsid w:val="00B8298D"/>
    <w:rsid w:val="00B84118"/>
    <w:rsid w:val="00B842C3"/>
    <w:rsid w:val="00B84D19"/>
    <w:rsid w:val="00B858FB"/>
    <w:rsid w:val="00B85FC0"/>
    <w:rsid w:val="00B860A1"/>
    <w:rsid w:val="00B860CF"/>
    <w:rsid w:val="00B8679E"/>
    <w:rsid w:val="00B872B1"/>
    <w:rsid w:val="00B8753A"/>
    <w:rsid w:val="00B87B9E"/>
    <w:rsid w:val="00B87C5A"/>
    <w:rsid w:val="00B87CF4"/>
    <w:rsid w:val="00B9164B"/>
    <w:rsid w:val="00B91B9B"/>
    <w:rsid w:val="00B922F0"/>
    <w:rsid w:val="00B92607"/>
    <w:rsid w:val="00B930A1"/>
    <w:rsid w:val="00B93118"/>
    <w:rsid w:val="00B938B9"/>
    <w:rsid w:val="00B93E42"/>
    <w:rsid w:val="00B9432D"/>
    <w:rsid w:val="00B9479D"/>
    <w:rsid w:val="00B949D0"/>
    <w:rsid w:val="00B94FF2"/>
    <w:rsid w:val="00B95313"/>
    <w:rsid w:val="00B9533D"/>
    <w:rsid w:val="00B95703"/>
    <w:rsid w:val="00B959CE"/>
    <w:rsid w:val="00B96B9C"/>
    <w:rsid w:val="00B96BC7"/>
    <w:rsid w:val="00B96D0E"/>
    <w:rsid w:val="00BA07EA"/>
    <w:rsid w:val="00BA112E"/>
    <w:rsid w:val="00BA1D0B"/>
    <w:rsid w:val="00BA1DA1"/>
    <w:rsid w:val="00BA1DB2"/>
    <w:rsid w:val="00BA2238"/>
    <w:rsid w:val="00BA269E"/>
    <w:rsid w:val="00BA26E3"/>
    <w:rsid w:val="00BA2B24"/>
    <w:rsid w:val="00BA42F3"/>
    <w:rsid w:val="00BA4360"/>
    <w:rsid w:val="00BA4EF8"/>
    <w:rsid w:val="00BA4F83"/>
    <w:rsid w:val="00BA516F"/>
    <w:rsid w:val="00BA6680"/>
    <w:rsid w:val="00BA6EA3"/>
    <w:rsid w:val="00BB0492"/>
    <w:rsid w:val="00BB0DD1"/>
    <w:rsid w:val="00BB115B"/>
    <w:rsid w:val="00BB15ED"/>
    <w:rsid w:val="00BB2325"/>
    <w:rsid w:val="00BB2497"/>
    <w:rsid w:val="00BB2636"/>
    <w:rsid w:val="00BB3321"/>
    <w:rsid w:val="00BB460D"/>
    <w:rsid w:val="00BB47E5"/>
    <w:rsid w:val="00BB4C5B"/>
    <w:rsid w:val="00BB4EDE"/>
    <w:rsid w:val="00BB4F67"/>
    <w:rsid w:val="00BB58B1"/>
    <w:rsid w:val="00BB5B9C"/>
    <w:rsid w:val="00BB5D9D"/>
    <w:rsid w:val="00BB5E3E"/>
    <w:rsid w:val="00BB6167"/>
    <w:rsid w:val="00BB6293"/>
    <w:rsid w:val="00BB6DB2"/>
    <w:rsid w:val="00BB6DF8"/>
    <w:rsid w:val="00BB7853"/>
    <w:rsid w:val="00BB7B37"/>
    <w:rsid w:val="00BC09B0"/>
    <w:rsid w:val="00BC0B5F"/>
    <w:rsid w:val="00BC11B5"/>
    <w:rsid w:val="00BC12A9"/>
    <w:rsid w:val="00BC136A"/>
    <w:rsid w:val="00BC1472"/>
    <w:rsid w:val="00BC1926"/>
    <w:rsid w:val="00BC1C06"/>
    <w:rsid w:val="00BC1E0C"/>
    <w:rsid w:val="00BC23C0"/>
    <w:rsid w:val="00BC24F7"/>
    <w:rsid w:val="00BC28BF"/>
    <w:rsid w:val="00BC3435"/>
    <w:rsid w:val="00BC3BFC"/>
    <w:rsid w:val="00BC3C75"/>
    <w:rsid w:val="00BC3FE2"/>
    <w:rsid w:val="00BC415E"/>
    <w:rsid w:val="00BC452C"/>
    <w:rsid w:val="00BC4EAF"/>
    <w:rsid w:val="00BC5050"/>
    <w:rsid w:val="00BC541F"/>
    <w:rsid w:val="00BC5AC8"/>
    <w:rsid w:val="00BC5F6F"/>
    <w:rsid w:val="00BC631A"/>
    <w:rsid w:val="00BC6835"/>
    <w:rsid w:val="00BC6B34"/>
    <w:rsid w:val="00BC6BB6"/>
    <w:rsid w:val="00BC7078"/>
    <w:rsid w:val="00BD031E"/>
    <w:rsid w:val="00BD03B9"/>
    <w:rsid w:val="00BD0924"/>
    <w:rsid w:val="00BD1452"/>
    <w:rsid w:val="00BD158B"/>
    <w:rsid w:val="00BD4DB4"/>
    <w:rsid w:val="00BD57AC"/>
    <w:rsid w:val="00BD5AF2"/>
    <w:rsid w:val="00BD5E39"/>
    <w:rsid w:val="00BD61EE"/>
    <w:rsid w:val="00BD710B"/>
    <w:rsid w:val="00BD7235"/>
    <w:rsid w:val="00BD72D7"/>
    <w:rsid w:val="00BD77F6"/>
    <w:rsid w:val="00BD7FB4"/>
    <w:rsid w:val="00BE0173"/>
    <w:rsid w:val="00BE028C"/>
    <w:rsid w:val="00BE102C"/>
    <w:rsid w:val="00BE1A10"/>
    <w:rsid w:val="00BE1C32"/>
    <w:rsid w:val="00BE235D"/>
    <w:rsid w:val="00BE2981"/>
    <w:rsid w:val="00BE2AF0"/>
    <w:rsid w:val="00BE301F"/>
    <w:rsid w:val="00BE30C2"/>
    <w:rsid w:val="00BE351F"/>
    <w:rsid w:val="00BE358F"/>
    <w:rsid w:val="00BE375E"/>
    <w:rsid w:val="00BE3777"/>
    <w:rsid w:val="00BE4198"/>
    <w:rsid w:val="00BE4D1A"/>
    <w:rsid w:val="00BE510F"/>
    <w:rsid w:val="00BE5BBC"/>
    <w:rsid w:val="00BE6447"/>
    <w:rsid w:val="00BE7A65"/>
    <w:rsid w:val="00BE7F94"/>
    <w:rsid w:val="00BF027A"/>
    <w:rsid w:val="00BF0CCB"/>
    <w:rsid w:val="00BF0F83"/>
    <w:rsid w:val="00BF134C"/>
    <w:rsid w:val="00BF2209"/>
    <w:rsid w:val="00BF22AF"/>
    <w:rsid w:val="00BF2386"/>
    <w:rsid w:val="00BF2D59"/>
    <w:rsid w:val="00BF37E8"/>
    <w:rsid w:val="00BF40FC"/>
    <w:rsid w:val="00BF4406"/>
    <w:rsid w:val="00BF4851"/>
    <w:rsid w:val="00BF5037"/>
    <w:rsid w:val="00BF5290"/>
    <w:rsid w:val="00BF533E"/>
    <w:rsid w:val="00BF5879"/>
    <w:rsid w:val="00BF59E5"/>
    <w:rsid w:val="00BF5DB9"/>
    <w:rsid w:val="00BF65ED"/>
    <w:rsid w:val="00BF6D30"/>
    <w:rsid w:val="00BF7379"/>
    <w:rsid w:val="00BF7437"/>
    <w:rsid w:val="00BF7A65"/>
    <w:rsid w:val="00BF7FF8"/>
    <w:rsid w:val="00C00413"/>
    <w:rsid w:val="00C01248"/>
    <w:rsid w:val="00C0142B"/>
    <w:rsid w:val="00C01675"/>
    <w:rsid w:val="00C01D2F"/>
    <w:rsid w:val="00C021AB"/>
    <w:rsid w:val="00C02316"/>
    <w:rsid w:val="00C02694"/>
    <w:rsid w:val="00C028A1"/>
    <w:rsid w:val="00C02D5D"/>
    <w:rsid w:val="00C030A2"/>
    <w:rsid w:val="00C03265"/>
    <w:rsid w:val="00C032CB"/>
    <w:rsid w:val="00C0380E"/>
    <w:rsid w:val="00C04353"/>
    <w:rsid w:val="00C04BD9"/>
    <w:rsid w:val="00C04D6A"/>
    <w:rsid w:val="00C05656"/>
    <w:rsid w:val="00C057F2"/>
    <w:rsid w:val="00C05DF3"/>
    <w:rsid w:val="00C060D3"/>
    <w:rsid w:val="00C06801"/>
    <w:rsid w:val="00C06833"/>
    <w:rsid w:val="00C06EE6"/>
    <w:rsid w:val="00C0735A"/>
    <w:rsid w:val="00C07519"/>
    <w:rsid w:val="00C10177"/>
    <w:rsid w:val="00C104AE"/>
    <w:rsid w:val="00C104D7"/>
    <w:rsid w:val="00C10532"/>
    <w:rsid w:val="00C114FD"/>
    <w:rsid w:val="00C11A63"/>
    <w:rsid w:val="00C11D51"/>
    <w:rsid w:val="00C120DE"/>
    <w:rsid w:val="00C12C1F"/>
    <w:rsid w:val="00C13600"/>
    <w:rsid w:val="00C1435A"/>
    <w:rsid w:val="00C15058"/>
    <w:rsid w:val="00C150F8"/>
    <w:rsid w:val="00C1525A"/>
    <w:rsid w:val="00C157E3"/>
    <w:rsid w:val="00C15B4C"/>
    <w:rsid w:val="00C15D76"/>
    <w:rsid w:val="00C16A1E"/>
    <w:rsid w:val="00C16A60"/>
    <w:rsid w:val="00C17CB2"/>
    <w:rsid w:val="00C20F5B"/>
    <w:rsid w:val="00C20F8E"/>
    <w:rsid w:val="00C20FCE"/>
    <w:rsid w:val="00C214A6"/>
    <w:rsid w:val="00C217A1"/>
    <w:rsid w:val="00C21D9C"/>
    <w:rsid w:val="00C231AB"/>
    <w:rsid w:val="00C234E5"/>
    <w:rsid w:val="00C238C6"/>
    <w:rsid w:val="00C24506"/>
    <w:rsid w:val="00C24603"/>
    <w:rsid w:val="00C24940"/>
    <w:rsid w:val="00C24ECE"/>
    <w:rsid w:val="00C250F7"/>
    <w:rsid w:val="00C253C7"/>
    <w:rsid w:val="00C25F86"/>
    <w:rsid w:val="00C25FC9"/>
    <w:rsid w:val="00C30243"/>
    <w:rsid w:val="00C30500"/>
    <w:rsid w:val="00C30C8C"/>
    <w:rsid w:val="00C30ED6"/>
    <w:rsid w:val="00C31321"/>
    <w:rsid w:val="00C31621"/>
    <w:rsid w:val="00C31DD8"/>
    <w:rsid w:val="00C328F3"/>
    <w:rsid w:val="00C32A33"/>
    <w:rsid w:val="00C3434A"/>
    <w:rsid w:val="00C34D8A"/>
    <w:rsid w:val="00C3566D"/>
    <w:rsid w:val="00C35947"/>
    <w:rsid w:val="00C359FA"/>
    <w:rsid w:val="00C35C33"/>
    <w:rsid w:val="00C35C7B"/>
    <w:rsid w:val="00C3612A"/>
    <w:rsid w:val="00C36351"/>
    <w:rsid w:val="00C36837"/>
    <w:rsid w:val="00C3683D"/>
    <w:rsid w:val="00C370E1"/>
    <w:rsid w:val="00C37481"/>
    <w:rsid w:val="00C37972"/>
    <w:rsid w:val="00C37A03"/>
    <w:rsid w:val="00C37E61"/>
    <w:rsid w:val="00C402CA"/>
    <w:rsid w:val="00C4092E"/>
    <w:rsid w:val="00C414E6"/>
    <w:rsid w:val="00C418D7"/>
    <w:rsid w:val="00C41E08"/>
    <w:rsid w:val="00C42758"/>
    <w:rsid w:val="00C43444"/>
    <w:rsid w:val="00C43590"/>
    <w:rsid w:val="00C435B3"/>
    <w:rsid w:val="00C436BA"/>
    <w:rsid w:val="00C4393C"/>
    <w:rsid w:val="00C43B8F"/>
    <w:rsid w:val="00C43E6D"/>
    <w:rsid w:val="00C44640"/>
    <w:rsid w:val="00C449EC"/>
    <w:rsid w:val="00C44A9B"/>
    <w:rsid w:val="00C44EC6"/>
    <w:rsid w:val="00C454D5"/>
    <w:rsid w:val="00C4562D"/>
    <w:rsid w:val="00C464BA"/>
    <w:rsid w:val="00C46697"/>
    <w:rsid w:val="00C46B8A"/>
    <w:rsid w:val="00C46FA4"/>
    <w:rsid w:val="00C47284"/>
    <w:rsid w:val="00C47809"/>
    <w:rsid w:val="00C5042C"/>
    <w:rsid w:val="00C50A62"/>
    <w:rsid w:val="00C512C2"/>
    <w:rsid w:val="00C51B47"/>
    <w:rsid w:val="00C51C61"/>
    <w:rsid w:val="00C5222B"/>
    <w:rsid w:val="00C52691"/>
    <w:rsid w:val="00C53387"/>
    <w:rsid w:val="00C5382D"/>
    <w:rsid w:val="00C53E18"/>
    <w:rsid w:val="00C56FFC"/>
    <w:rsid w:val="00C57267"/>
    <w:rsid w:val="00C572EC"/>
    <w:rsid w:val="00C57CBE"/>
    <w:rsid w:val="00C57DE4"/>
    <w:rsid w:val="00C57E8F"/>
    <w:rsid w:val="00C60136"/>
    <w:rsid w:val="00C60D12"/>
    <w:rsid w:val="00C60D54"/>
    <w:rsid w:val="00C6149E"/>
    <w:rsid w:val="00C61604"/>
    <w:rsid w:val="00C61A69"/>
    <w:rsid w:val="00C62295"/>
    <w:rsid w:val="00C6244C"/>
    <w:rsid w:val="00C62789"/>
    <w:rsid w:val="00C62A18"/>
    <w:rsid w:val="00C638B3"/>
    <w:rsid w:val="00C648A0"/>
    <w:rsid w:val="00C6653E"/>
    <w:rsid w:val="00C66E69"/>
    <w:rsid w:val="00C700C0"/>
    <w:rsid w:val="00C704F7"/>
    <w:rsid w:val="00C7060C"/>
    <w:rsid w:val="00C70879"/>
    <w:rsid w:val="00C70B2A"/>
    <w:rsid w:val="00C70B87"/>
    <w:rsid w:val="00C70FC3"/>
    <w:rsid w:val="00C717B1"/>
    <w:rsid w:val="00C722E3"/>
    <w:rsid w:val="00C726D5"/>
    <w:rsid w:val="00C72E98"/>
    <w:rsid w:val="00C736EC"/>
    <w:rsid w:val="00C73875"/>
    <w:rsid w:val="00C7455B"/>
    <w:rsid w:val="00C74BDE"/>
    <w:rsid w:val="00C75AC1"/>
    <w:rsid w:val="00C75F41"/>
    <w:rsid w:val="00C763CD"/>
    <w:rsid w:val="00C769BF"/>
    <w:rsid w:val="00C770C9"/>
    <w:rsid w:val="00C771D0"/>
    <w:rsid w:val="00C7756A"/>
    <w:rsid w:val="00C81128"/>
    <w:rsid w:val="00C81202"/>
    <w:rsid w:val="00C81395"/>
    <w:rsid w:val="00C8198F"/>
    <w:rsid w:val="00C81AF4"/>
    <w:rsid w:val="00C82C96"/>
    <w:rsid w:val="00C8329D"/>
    <w:rsid w:val="00C83981"/>
    <w:rsid w:val="00C83A33"/>
    <w:rsid w:val="00C83BD4"/>
    <w:rsid w:val="00C840FD"/>
    <w:rsid w:val="00C84570"/>
    <w:rsid w:val="00C846FE"/>
    <w:rsid w:val="00C84D1F"/>
    <w:rsid w:val="00C84E48"/>
    <w:rsid w:val="00C8533C"/>
    <w:rsid w:val="00C85BD7"/>
    <w:rsid w:val="00C85D97"/>
    <w:rsid w:val="00C871BF"/>
    <w:rsid w:val="00C8767C"/>
    <w:rsid w:val="00C876D5"/>
    <w:rsid w:val="00C87AD2"/>
    <w:rsid w:val="00C901AC"/>
    <w:rsid w:val="00C9080A"/>
    <w:rsid w:val="00C90932"/>
    <w:rsid w:val="00C90AB1"/>
    <w:rsid w:val="00C91AF3"/>
    <w:rsid w:val="00C91DD7"/>
    <w:rsid w:val="00C92603"/>
    <w:rsid w:val="00C926DC"/>
    <w:rsid w:val="00C92831"/>
    <w:rsid w:val="00C93838"/>
    <w:rsid w:val="00C93864"/>
    <w:rsid w:val="00C941F3"/>
    <w:rsid w:val="00C9446C"/>
    <w:rsid w:val="00C94C7A"/>
    <w:rsid w:val="00C9548A"/>
    <w:rsid w:val="00C96C7B"/>
    <w:rsid w:val="00C97E4F"/>
    <w:rsid w:val="00C97E8F"/>
    <w:rsid w:val="00CA053A"/>
    <w:rsid w:val="00CA0961"/>
    <w:rsid w:val="00CA0FAC"/>
    <w:rsid w:val="00CA117B"/>
    <w:rsid w:val="00CA11A7"/>
    <w:rsid w:val="00CA213D"/>
    <w:rsid w:val="00CA23E9"/>
    <w:rsid w:val="00CA32C5"/>
    <w:rsid w:val="00CA375A"/>
    <w:rsid w:val="00CA3F1C"/>
    <w:rsid w:val="00CA4247"/>
    <w:rsid w:val="00CA4302"/>
    <w:rsid w:val="00CA4508"/>
    <w:rsid w:val="00CA4769"/>
    <w:rsid w:val="00CA4B0A"/>
    <w:rsid w:val="00CA4DFB"/>
    <w:rsid w:val="00CA501A"/>
    <w:rsid w:val="00CA53A6"/>
    <w:rsid w:val="00CA5F45"/>
    <w:rsid w:val="00CA6300"/>
    <w:rsid w:val="00CA6425"/>
    <w:rsid w:val="00CA6AA8"/>
    <w:rsid w:val="00CA6BA0"/>
    <w:rsid w:val="00CA706C"/>
    <w:rsid w:val="00CA74BD"/>
    <w:rsid w:val="00CB0CEB"/>
    <w:rsid w:val="00CB13A0"/>
    <w:rsid w:val="00CB140A"/>
    <w:rsid w:val="00CB20FC"/>
    <w:rsid w:val="00CB2331"/>
    <w:rsid w:val="00CB2480"/>
    <w:rsid w:val="00CB2DB4"/>
    <w:rsid w:val="00CB2E03"/>
    <w:rsid w:val="00CB2F11"/>
    <w:rsid w:val="00CB348C"/>
    <w:rsid w:val="00CB3522"/>
    <w:rsid w:val="00CB3A05"/>
    <w:rsid w:val="00CB3D82"/>
    <w:rsid w:val="00CB404E"/>
    <w:rsid w:val="00CB465E"/>
    <w:rsid w:val="00CB51C4"/>
    <w:rsid w:val="00CB54C3"/>
    <w:rsid w:val="00CB5A73"/>
    <w:rsid w:val="00CB5FB0"/>
    <w:rsid w:val="00CB616F"/>
    <w:rsid w:val="00CB7118"/>
    <w:rsid w:val="00CB7DB1"/>
    <w:rsid w:val="00CC0CBF"/>
    <w:rsid w:val="00CC13A1"/>
    <w:rsid w:val="00CC210D"/>
    <w:rsid w:val="00CC2B33"/>
    <w:rsid w:val="00CC2E58"/>
    <w:rsid w:val="00CC343B"/>
    <w:rsid w:val="00CC35A4"/>
    <w:rsid w:val="00CC36C4"/>
    <w:rsid w:val="00CC3739"/>
    <w:rsid w:val="00CC3C06"/>
    <w:rsid w:val="00CC47FA"/>
    <w:rsid w:val="00CC4C54"/>
    <w:rsid w:val="00CC4FE7"/>
    <w:rsid w:val="00CC57D2"/>
    <w:rsid w:val="00CC5C56"/>
    <w:rsid w:val="00CC6057"/>
    <w:rsid w:val="00CC66C1"/>
    <w:rsid w:val="00CC6CFE"/>
    <w:rsid w:val="00CC6D63"/>
    <w:rsid w:val="00CC74EB"/>
    <w:rsid w:val="00CC7541"/>
    <w:rsid w:val="00CC7568"/>
    <w:rsid w:val="00CC7841"/>
    <w:rsid w:val="00CC7BE9"/>
    <w:rsid w:val="00CD0E51"/>
    <w:rsid w:val="00CD0EA4"/>
    <w:rsid w:val="00CD116E"/>
    <w:rsid w:val="00CD1640"/>
    <w:rsid w:val="00CD1C28"/>
    <w:rsid w:val="00CD20FD"/>
    <w:rsid w:val="00CD247E"/>
    <w:rsid w:val="00CD2A4B"/>
    <w:rsid w:val="00CD321D"/>
    <w:rsid w:val="00CD3FE3"/>
    <w:rsid w:val="00CD4375"/>
    <w:rsid w:val="00CD4B50"/>
    <w:rsid w:val="00CD5006"/>
    <w:rsid w:val="00CD6B3E"/>
    <w:rsid w:val="00CD6B6F"/>
    <w:rsid w:val="00CD6BB4"/>
    <w:rsid w:val="00CD6D46"/>
    <w:rsid w:val="00CD75BC"/>
    <w:rsid w:val="00CD7926"/>
    <w:rsid w:val="00CE037A"/>
    <w:rsid w:val="00CE098B"/>
    <w:rsid w:val="00CE0AA0"/>
    <w:rsid w:val="00CE1376"/>
    <w:rsid w:val="00CE1483"/>
    <w:rsid w:val="00CE2A73"/>
    <w:rsid w:val="00CE4026"/>
    <w:rsid w:val="00CE42F0"/>
    <w:rsid w:val="00CE431A"/>
    <w:rsid w:val="00CE4601"/>
    <w:rsid w:val="00CE52EC"/>
    <w:rsid w:val="00CE55B3"/>
    <w:rsid w:val="00CE56E0"/>
    <w:rsid w:val="00CE5F79"/>
    <w:rsid w:val="00CE6383"/>
    <w:rsid w:val="00CE68A2"/>
    <w:rsid w:val="00CE7D52"/>
    <w:rsid w:val="00CF0536"/>
    <w:rsid w:val="00CF11FB"/>
    <w:rsid w:val="00CF1809"/>
    <w:rsid w:val="00CF2867"/>
    <w:rsid w:val="00CF2B44"/>
    <w:rsid w:val="00CF312F"/>
    <w:rsid w:val="00CF37DB"/>
    <w:rsid w:val="00CF3E43"/>
    <w:rsid w:val="00CF450D"/>
    <w:rsid w:val="00CF4D06"/>
    <w:rsid w:val="00CF4E65"/>
    <w:rsid w:val="00CF592C"/>
    <w:rsid w:val="00CF5FB4"/>
    <w:rsid w:val="00CF669F"/>
    <w:rsid w:val="00CF6DEB"/>
    <w:rsid w:val="00CF6E8E"/>
    <w:rsid w:val="00CF7E91"/>
    <w:rsid w:val="00D00499"/>
    <w:rsid w:val="00D011BC"/>
    <w:rsid w:val="00D0133F"/>
    <w:rsid w:val="00D01839"/>
    <w:rsid w:val="00D0192F"/>
    <w:rsid w:val="00D02F22"/>
    <w:rsid w:val="00D02F28"/>
    <w:rsid w:val="00D031AF"/>
    <w:rsid w:val="00D034EE"/>
    <w:rsid w:val="00D03A1E"/>
    <w:rsid w:val="00D03B87"/>
    <w:rsid w:val="00D046DE"/>
    <w:rsid w:val="00D0486D"/>
    <w:rsid w:val="00D050D6"/>
    <w:rsid w:val="00D056F8"/>
    <w:rsid w:val="00D05C26"/>
    <w:rsid w:val="00D05CFC"/>
    <w:rsid w:val="00D05E4A"/>
    <w:rsid w:val="00D062C5"/>
    <w:rsid w:val="00D06AB7"/>
    <w:rsid w:val="00D10525"/>
    <w:rsid w:val="00D10922"/>
    <w:rsid w:val="00D1128C"/>
    <w:rsid w:val="00D1276D"/>
    <w:rsid w:val="00D1278E"/>
    <w:rsid w:val="00D1344A"/>
    <w:rsid w:val="00D13751"/>
    <w:rsid w:val="00D13876"/>
    <w:rsid w:val="00D13BE0"/>
    <w:rsid w:val="00D14A21"/>
    <w:rsid w:val="00D14E32"/>
    <w:rsid w:val="00D15234"/>
    <w:rsid w:val="00D152B1"/>
    <w:rsid w:val="00D16059"/>
    <w:rsid w:val="00D1616B"/>
    <w:rsid w:val="00D16F09"/>
    <w:rsid w:val="00D17FEB"/>
    <w:rsid w:val="00D203BC"/>
    <w:rsid w:val="00D211D4"/>
    <w:rsid w:val="00D216E0"/>
    <w:rsid w:val="00D21F34"/>
    <w:rsid w:val="00D21F44"/>
    <w:rsid w:val="00D2265B"/>
    <w:rsid w:val="00D23608"/>
    <w:rsid w:val="00D23B12"/>
    <w:rsid w:val="00D23CCB"/>
    <w:rsid w:val="00D23CDA"/>
    <w:rsid w:val="00D2443F"/>
    <w:rsid w:val="00D246F6"/>
    <w:rsid w:val="00D2515C"/>
    <w:rsid w:val="00D25359"/>
    <w:rsid w:val="00D25A2F"/>
    <w:rsid w:val="00D25CD4"/>
    <w:rsid w:val="00D26243"/>
    <w:rsid w:val="00D267B0"/>
    <w:rsid w:val="00D268C3"/>
    <w:rsid w:val="00D268D5"/>
    <w:rsid w:val="00D26D4B"/>
    <w:rsid w:val="00D27143"/>
    <w:rsid w:val="00D27817"/>
    <w:rsid w:val="00D27FEF"/>
    <w:rsid w:val="00D302AC"/>
    <w:rsid w:val="00D302CD"/>
    <w:rsid w:val="00D30996"/>
    <w:rsid w:val="00D30D17"/>
    <w:rsid w:val="00D310E3"/>
    <w:rsid w:val="00D31FE6"/>
    <w:rsid w:val="00D323EA"/>
    <w:rsid w:val="00D32D1D"/>
    <w:rsid w:val="00D33552"/>
    <w:rsid w:val="00D335B8"/>
    <w:rsid w:val="00D3415B"/>
    <w:rsid w:val="00D34A27"/>
    <w:rsid w:val="00D34DD0"/>
    <w:rsid w:val="00D35202"/>
    <w:rsid w:val="00D35544"/>
    <w:rsid w:val="00D35A16"/>
    <w:rsid w:val="00D363B4"/>
    <w:rsid w:val="00D36C37"/>
    <w:rsid w:val="00D36F6F"/>
    <w:rsid w:val="00D37BDA"/>
    <w:rsid w:val="00D40497"/>
    <w:rsid w:val="00D413FD"/>
    <w:rsid w:val="00D42034"/>
    <w:rsid w:val="00D4205D"/>
    <w:rsid w:val="00D42249"/>
    <w:rsid w:val="00D4279E"/>
    <w:rsid w:val="00D430AC"/>
    <w:rsid w:val="00D432DA"/>
    <w:rsid w:val="00D433CB"/>
    <w:rsid w:val="00D4341C"/>
    <w:rsid w:val="00D43565"/>
    <w:rsid w:val="00D43E16"/>
    <w:rsid w:val="00D44C00"/>
    <w:rsid w:val="00D44EB2"/>
    <w:rsid w:val="00D45018"/>
    <w:rsid w:val="00D453AF"/>
    <w:rsid w:val="00D4542A"/>
    <w:rsid w:val="00D45645"/>
    <w:rsid w:val="00D463C1"/>
    <w:rsid w:val="00D4665A"/>
    <w:rsid w:val="00D5023F"/>
    <w:rsid w:val="00D50FF0"/>
    <w:rsid w:val="00D512E6"/>
    <w:rsid w:val="00D519C2"/>
    <w:rsid w:val="00D52142"/>
    <w:rsid w:val="00D52490"/>
    <w:rsid w:val="00D53AE6"/>
    <w:rsid w:val="00D53B2E"/>
    <w:rsid w:val="00D54303"/>
    <w:rsid w:val="00D54A41"/>
    <w:rsid w:val="00D54CFE"/>
    <w:rsid w:val="00D54EC2"/>
    <w:rsid w:val="00D559D5"/>
    <w:rsid w:val="00D55F6A"/>
    <w:rsid w:val="00D56611"/>
    <w:rsid w:val="00D56615"/>
    <w:rsid w:val="00D570A8"/>
    <w:rsid w:val="00D574FE"/>
    <w:rsid w:val="00D57571"/>
    <w:rsid w:val="00D57848"/>
    <w:rsid w:val="00D6008C"/>
    <w:rsid w:val="00D6019A"/>
    <w:rsid w:val="00D6043D"/>
    <w:rsid w:val="00D6056A"/>
    <w:rsid w:val="00D606A9"/>
    <w:rsid w:val="00D60839"/>
    <w:rsid w:val="00D60F59"/>
    <w:rsid w:val="00D61D5C"/>
    <w:rsid w:val="00D61FDF"/>
    <w:rsid w:val="00D62482"/>
    <w:rsid w:val="00D63023"/>
    <w:rsid w:val="00D63043"/>
    <w:rsid w:val="00D634A2"/>
    <w:rsid w:val="00D63AAA"/>
    <w:rsid w:val="00D6420C"/>
    <w:rsid w:val="00D650F1"/>
    <w:rsid w:val="00D65664"/>
    <w:rsid w:val="00D65BDC"/>
    <w:rsid w:val="00D65C2A"/>
    <w:rsid w:val="00D65D52"/>
    <w:rsid w:val="00D65E09"/>
    <w:rsid w:val="00D664FD"/>
    <w:rsid w:val="00D66537"/>
    <w:rsid w:val="00D67166"/>
    <w:rsid w:val="00D676A3"/>
    <w:rsid w:val="00D67EEE"/>
    <w:rsid w:val="00D7076C"/>
    <w:rsid w:val="00D70AD3"/>
    <w:rsid w:val="00D70F1E"/>
    <w:rsid w:val="00D710C1"/>
    <w:rsid w:val="00D71123"/>
    <w:rsid w:val="00D7189B"/>
    <w:rsid w:val="00D720BE"/>
    <w:rsid w:val="00D728FF"/>
    <w:rsid w:val="00D731F6"/>
    <w:rsid w:val="00D73AC1"/>
    <w:rsid w:val="00D73BEB"/>
    <w:rsid w:val="00D73CFB"/>
    <w:rsid w:val="00D748A6"/>
    <w:rsid w:val="00D75D8F"/>
    <w:rsid w:val="00D75E05"/>
    <w:rsid w:val="00D76401"/>
    <w:rsid w:val="00D7651C"/>
    <w:rsid w:val="00D76D5C"/>
    <w:rsid w:val="00D76EC5"/>
    <w:rsid w:val="00D7792F"/>
    <w:rsid w:val="00D80326"/>
    <w:rsid w:val="00D80861"/>
    <w:rsid w:val="00D8095A"/>
    <w:rsid w:val="00D80D6E"/>
    <w:rsid w:val="00D812B9"/>
    <w:rsid w:val="00D816FA"/>
    <w:rsid w:val="00D81BC7"/>
    <w:rsid w:val="00D81DD4"/>
    <w:rsid w:val="00D81FC7"/>
    <w:rsid w:val="00D8224D"/>
    <w:rsid w:val="00D82548"/>
    <w:rsid w:val="00D827A6"/>
    <w:rsid w:val="00D82F5C"/>
    <w:rsid w:val="00D83197"/>
    <w:rsid w:val="00D84381"/>
    <w:rsid w:val="00D84AC2"/>
    <w:rsid w:val="00D8599A"/>
    <w:rsid w:val="00D85AA6"/>
    <w:rsid w:val="00D8652B"/>
    <w:rsid w:val="00D87206"/>
    <w:rsid w:val="00D8730D"/>
    <w:rsid w:val="00D87C17"/>
    <w:rsid w:val="00D90C84"/>
    <w:rsid w:val="00D91D92"/>
    <w:rsid w:val="00D92267"/>
    <w:rsid w:val="00D925B9"/>
    <w:rsid w:val="00D92C32"/>
    <w:rsid w:val="00D93597"/>
    <w:rsid w:val="00D93A8F"/>
    <w:rsid w:val="00D93D0D"/>
    <w:rsid w:val="00D941E1"/>
    <w:rsid w:val="00D94B46"/>
    <w:rsid w:val="00D94EAD"/>
    <w:rsid w:val="00D956A7"/>
    <w:rsid w:val="00D958AC"/>
    <w:rsid w:val="00D959D5"/>
    <w:rsid w:val="00D95DFC"/>
    <w:rsid w:val="00D960C1"/>
    <w:rsid w:val="00D96290"/>
    <w:rsid w:val="00D97ACB"/>
    <w:rsid w:val="00D97FED"/>
    <w:rsid w:val="00DA0367"/>
    <w:rsid w:val="00DA08BD"/>
    <w:rsid w:val="00DA1122"/>
    <w:rsid w:val="00DA1AEB"/>
    <w:rsid w:val="00DA1B02"/>
    <w:rsid w:val="00DA1B68"/>
    <w:rsid w:val="00DA1E17"/>
    <w:rsid w:val="00DA2346"/>
    <w:rsid w:val="00DA241D"/>
    <w:rsid w:val="00DA2DB4"/>
    <w:rsid w:val="00DA33EA"/>
    <w:rsid w:val="00DA3641"/>
    <w:rsid w:val="00DA3B6F"/>
    <w:rsid w:val="00DA3F0B"/>
    <w:rsid w:val="00DA41C2"/>
    <w:rsid w:val="00DA4437"/>
    <w:rsid w:val="00DA4769"/>
    <w:rsid w:val="00DA4DA1"/>
    <w:rsid w:val="00DA4DBE"/>
    <w:rsid w:val="00DA51C6"/>
    <w:rsid w:val="00DA5593"/>
    <w:rsid w:val="00DA6008"/>
    <w:rsid w:val="00DA62EE"/>
    <w:rsid w:val="00DA6662"/>
    <w:rsid w:val="00DA66D5"/>
    <w:rsid w:val="00DA700C"/>
    <w:rsid w:val="00DA726B"/>
    <w:rsid w:val="00DA73E2"/>
    <w:rsid w:val="00DA7477"/>
    <w:rsid w:val="00DB0F0D"/>
    <w:rsid w:val="00DB1074"/>
    <w:rsid w:val="00DB197D"/>
    <w:rsid w:val="00DB1C95"/>
    <w:rsid w:val="00DB3212"/>
    <w:rsid w:val="00DB3AF6"/>
    <w:rsid w:val="00DB5664"/>
    <w:rsid w:val="00DB5E7E"/>
    <w:rsid w:val="00DB5F9D"/>
    <w:rsid w:val="00DB63F9"/>
    <w:rsid w:val="00DB6849"/>
    <w:rsid w:val="00DB7913"/>
    <w:rsid w:val="00DB7FE3"/>
    <w:rsid w:val="00DC0334"/>
    <w:rsid w:val="00DC0C69"/>
    <w:rsid w:val="00DC1257"/>
    <w:rsid w:val="00DC1281"/>
    <w:rsid w:val="00DC1414"/>
    <w:rsid w:val="00DC1578"/>
    <w:rsid w:val="00DC239D"/>
    <w:rsid w:val="00DC2BA2"/>
    <w:rsid w:val="00DC2C33"/>
    <w:rsid w:val="00DC3660"/>
    <w:rsid w:val="00DC38ED"/>
    <w:rsid w:val="00DC3E22"/>
    <w:rsid w:val="00DC409A"/>
    <w:rsid w:val="00DC4364"/>
    <w:rsid w:val="00DC528D"/>
    <w:rsid w:val="00DC5465"/>
    <w:rsid w:val="00DC591B"/>
    <w:rsid w:val="00DC6D15"/>
    <w:rsid w:val="00DD0B72"/>
    <w:rsid w:val="00DD0CBA"/>
    <w:rsid w:val="00DD1148"/>
    <w:rsid w:val="00DD1288"/>
    <w:rsid w:val="00DD1729"/>
    <w:rsid w:val="00DD1B08"/>
    <w:rsid w:val="00DD270B"/>
    <w:rsid w:val="00DD2AB3"/>
    <w:rsid w:val="00DD2C78"/>
    <w:rsid w:val="00DD308E"/>
    <w:rsid w:val="00DD3235"/>
    <w:rsid w:val="00DD32A0"/>
    <w:rsid w:val="00DD388A"/>
    <w:rsid w:val="00DD38A2"/>
    <w:rsid w:val="00DD3EAE"/>
    <w:rsid w:val="00DD3EAF"/>
    <w:rsid w:val="00DD4C98"/>
    <w:rsid w:val="00DD69DA"/>
    <w:rsid w:val="00DD6A24"/>
    <w:rsid w:val="00DD77F0"/>
    <w:rsid w:val="00DD79C4"/>
    <w:rsid w:val="00DD7B1C"/>
    <w:rsid w:val="00DD7C30"/>
    <w:rsid w:val="00DD7C83"/>
    <w:rsid w:val="00DDB850"/>
    <w:rsid w:val="00DE04E0"/>
    <w:rsid w:val="00DE05AF"/>
    <w:rsid w:val="00DE05CA"/>
    <w:rsid w:val="00DE07C1"/>
    <w:rsid w:val="00DE0ADE"/>
    <w:rsid w:val="00DE0CB9"/>
    <w:rsid w:val="00DE11E1"/>
    <w:rsid w:val="00DE132B"/>
    <w:rsid w:val="00DE14E5"/>
    <w:rsid w:val="00DE1A39"/>
    <w:rsid w:val="00DE1FC2"/>
    <w:rsid w:val="00DE25B7"/>
    <w:rsid w:val="00DE28DC"/>
    <w:rsid w:val="00DE2994"/>
    <w:rsid w:val="00DE2F7E"/>
    <w:rsid w:val="00DE3632"/>
    <w:rsid w:val="00DE39A4"/>
    <w:rsid w:val="00DE39C7"/>
    <w:rsid w:val="00DE3C94"/>
    <w:rsid w:val="00DE3D8C"/>
    <w:rsid w:val="00DE423E"/>
    <w:rsid w:val="00DE4346"/>
    <w:rsid w:val="00DE45DC"/>
    <w:rsid w:val="00DE490D"/>
    <w:rsid w:val="00DE52E6"/>
    <w:rsid w:val="00DE53D1"/>
    <w:rsid w:val="00DE596F"/>
    <w:rsid w:val="00DE5EBC"/>
    <w:rsid w:val="00DE66BA"/>
    <w:rsid w:val="00DE690F"/>
    <w:rsid w:val="00DE6E1D"/>
    <w:rsid w:val="00DE721A"/>
    <w:rsid w:val="00DE776E"/>
    <w:rsid w:val="00DF066E"/>
    <w:rsid w:val="00DF0F7A"/>
    <w:rsid w:val="00DF106F"/>
    <w:rsid w:val="00DF18B8"/>
    <w:rsid w:val="00DF26B0"/>
    <w:rsid w:val="00DF3460"/>
    <w:rsid w:val="00DF3BA5"/>
    <w:rsid w:val="00DF4805"/>
    <w:rsid w:val="00DF484B"/>
    <w:rsid w:val="00DF62CD"/>
    <w:rsid w:val="00DF64A1"/>
    <w:rsid w:val="00DF6AC5"/>
    <w:rsid w:val="00DF6CE9"/>
    <w:rsid w:val="00DF7722"/>
    <w:rsid w:val="00DF7E3B"/>
    <w:rsid w:val="00DF7ECB"/>
    <w:rsid w:val="00E002DB"/>
    <w:rsid w:val="00E0066B"/>
    <w:rsid w:val="00E013FB"/>
    <w:rsid w:val="00E0174C"/>
    <w:rsid w:val="00E01E2D"/>
    <w:rsid w:val="00E01EA9"/>
    <w:rsid w:val="00E020F8"/>
    <w:rsid w:val="00E02B69"/>
    <w:rsid w:val="00E02F6B"/>
    <w:rsid w:val="00E036BA"/>
    <w:rsid w:val="00E03744"/>
    <w:rsid w:val="00E03A63"/>
    <w:rsid w:val="00E03C67"/>
    <w:rsid w:val="00E03CC7"/>
    <w:rsid w:val="00E0400A"/>
    <w:rsid w:val="00E04290"/>
    <w:rsid w:val="00E043C9"/>
    <w:rsid w:val="00E04C88"/>
    <w:rsid w:val="00E04D8B"/>
    <w:rsid w:val="00E04F63"/>
    <w:rsid w:val="00E052D4"/>
    <w:rsid w:val="00E05848"/>
    <w:rsid w:val="00E05DAD"/>
    <w:rsid w:val="00E064EE"/>
    <w:rsid w:val="00E06853"/>
    <w:rsid w:val="00E10AC8"/>
    <w:rsid w:val="00E112F3"/>
    <w:rsid w:val="00E11A57"/>
    <w:rsid w:val="00E11D0C"/>
    <w:rsid w:val="00E12385"/>
    <w:rsid w:val="00E124CC"/>
    <w:rsid w:val="00E12806"/>
    <w:rsid w:val="00E12951"/>
    <w:rsid w:val="00E12A1B"/>
    <w:rsid w:val="00E13325"/>
    <w:rsid w:val="00E1338A"/>
    <w:rsid w:val="00E133AE"/>
    <w:rsid w:val="00E135C8"/>
    <w:rsid w:val="00E13756"/>
    <w:rsid w:val="00E14389"/>
    <w:rsid w:val="00E14FE1"/>
    <w:rsid w:val="00E15092"/>
    <w:rsid w:val="00E155F9"/>
    <w:rsid w:val="00E1572A"/>
    <w:rsid w:val="00E15C6D"/>
    <w:rsid w:val="00E15CA6"/>
    <w:rsid w:val="00E15FB0"/>
    <w:rsid w:val="00E16347"/>
    <w:rsid w:val="00E16666"/>
    <w:rsid w:val="00E20246"/>
    <w:rsid w:val="00E20411"/>
    <w:rsid w:val="00E206DB"/>
    <w:rsid w:val="00E22EF3"/>
    <w:rsid w:val="00E2355A"/>
    <w:rsid w:val="00E23610"/>
    <w:rsid w:val="00E23635"/>
    <w:rsid w:val="00E241AE"/>
    <w:rsid w:val="00E24573"/>
    <w:rsid w:val="00E248A5"/>
    <w:rsid w:val="00E24BFD"/>
    <w:rsid w:val="00E24F10"/>
    <w:rsid w:val="00E24F6F"/>
    <w:rsid w:val="00E25104"/>
    <w:rsid w:val="00E256B2"/>
    <w:rsid w:val="00E256C8"/>
    <w:rsid w:val="00E2581E"/>
    <w:rsid w:val="00E26178"/>
    <w:rsid w:val="00E267A0"/>
    <w:rsid w:val="00E26A7A"/>
    <w:rsid w:val="00E26DDE"/>
    <w:rsid w:val="00E27075"/>
    <w:rsid w:val="00E270F1"/>
    <w:rsid w:val="00E276CA"/>
    <w:rsid w:val="00E27956"/>
    <w:rsid w:val="00E27A50"/>
    <w:rsid w:val="00E3041B"/>
    <w:rsid w:val="00E30B6D"/>
    <w:rsid w:val="00E30E5A"/>
    <w:rsid w:val="00E3119D"/>
    <w:rsid w:val="00E32E2E"/>
    <w:rsid w:val="00E3325B"/>
    <w:rsid w:val="00E337B3"/>
    <w:rsid w:val="00E33F4E"/>
    <w:rsid w:val="00E344E0"/>
    <w:rsid w:val="00E34B4D"/>
    <w:rsid w:val="00E34E8F"/>
    <w:rsid w:val="00E34E96"/>
    <w:rsid w:val="00E36414"/>
    <w:rsid w:val="00E36450"/>
    <w:rsid w:val="00E368FC"/>
    <w:rsid w:val="00E369EF"/>
    <w:rsid w:val="00E37BA6"/>
    <w:rsid w:val="00E402B4"/>
    <w:rsid w:val="00E402BE"/>
    <w:rsid w:val="00E40C2D"/>
    <w:rsid w:val="00E40E23"/>
    <w:rsid w:val="00E40E70"/>
    <w:rsid w:val="00E412E2"/>
    <w:rsid w:val="00E41A34"/>
    <w:rsid w:val="00E41ECE"/>
    <w:rsid w:val="00E41F0B"/>
    <w:rsid w:val="00E42480"/>
    <w:rsid w:val="00E426FB"/>
    <w:rsid w:val="00E43094"/>
    <w:rsid w:val="00E43C9E"/>
    <w:rsid w:val="00E44A09"/>
    <w:rsid w:val="00E44ADB"/>
    <w:rsid w:val="00E44CA5"/>
    <w:rsid w:val="00E4517E"/>
    <w:rsid w:val="00E4530D"/>
    <w:rsid w:val="00E45680"/>
    <w:rsid w:val="00E458E5"/>
    <w:rsid w:val="00E45C31"/>
    <w:rsid w:val="00E45E20"/>
    <w:rsid w:val="00E4643C"/>
    <w:rsid w:val="00E46521"/>
    <w:rsid w:val="00E467B0"/>
    <w:rsid w:val="00E4701F"/>
    <w:rsid w:val="00E472E9"/>
    <w:rsid w:val="00E47D96"/>
    <w:rsid w:val="00E47E58"/>
    <w:rsid w:val="00E5122E"/>
    <w:rsid w:val="00E5158C"/>
    <w:rsid w:val="00E5243B"/>
    <w:rsid w:val="00E52A58"/>
    <w:rsid w:val="00E541C9"/>
    <w:rsid w:val="00E5433C"/>
    <w:rsid w:val="00E544EF"/>
    <w:rsid w:val="00E54CE2"/>
    <w:rsid w:val="00E54F5C"/>
    <w:rsid w:val="00E55625"/>
    <w:rsid w:val="00E5579B"/>
    <w:rsid w:val="00E557C5"/>
    <w:rsid w:val="00E55EED"/>
    <w:rsid w:val="00E56302"/>
    <w:rsid w:val="00E56395"/>
    <w:rsid w:val="00E56561"/>
    <w:rsid w:val="00E565FB"/>
    <w:rsid w:val="00E5704B"/>
    <w:rsid w:val="00E579EA"/>
    <w:rsid w:val="00E601D7"/>
    <w:rsid w:val="00E60DEC"/>
    <w:rsid w:val="00E60E6C"/>
    <w:rsid w:val="00E60FF7"/>
    <w:rsid w:val="00E6110A"/>
    <w:rsid w:val="00E618AC"/>
    <w:rsid w:val="00E61BF8"/>
    <w:rsid w:val="00E62F06"/>
    <w:rsid w:val="00E63395"/>
    <w:rsid w:val="00E645FE"/>
    <w:rsid w:val="00E6464F"/>
    <w:rsid w:val="00E64744"/>
    <w:rsid w:val="00E6477F"/>
    <w:rsid w:val="00E64869"/>
    <w:rsid w:val="00E64958"/>
    <w:rsid w:val="00E64B3F"/>
    <w:rsid w:val="00E64C6C"/>
    <w:rsid w:val="00E64D2A"/>
    <w:rsid w:val="00E653AC"/>
    <w:rsid w:val="00E65923"/>
    <w:rsid w:val="00E67364"/>
    <w:rsid w:val="00E6742A"/>
    <w:rsid w:val="00E67785"/>
    <w:rsid w:val="00E67B4E"/>
    <w:rsid w:val="00E701DC"/>
    <w:rsid w:val="00E70546"/>
    <w:rsid w:val="00E70DFF"/>
    <w:rsid w:val="00E713EE"/>
    <w:rsid w:val="00E718B9"/>
    <w:rsid w:val="00E7202C"/>
    <w:rsid w:val="00E7222B"/>
    <w:rsid w:val="00E72C83"/>
    <w:rsid w:val="00E73CC5"/>
    <w:rsid w:val="00E74052"/>
    <w:rsid w:val="00E740BF"/>
    <w:rsid w:val="00E7432A"/>
    <w:rsid w:val="00E7456C"/>
    <w:rsid w:val="00E74B83"/>
    <w:rsid w:val="00E74F84"/>
    <w:rsid w:val="00E7540C"/>
    <w:rsid w:val="00E756AE"/>
    <w:rsid w:val="00E75756"/>
    <w:rsid w:val="00E76371"/>
    <w:rsid w:val="00E77B2A"/>
    <w:rsid w:val="00E80CEB"/>
    <w:rsid w:val="00E81883"/>
    <w:rsid w:val="00E81FE4"/>
    <w:rsid w:val="00E82745"/>
    <w:rsid w:val="00E82CC9"/>
    <w:rsid w:val="00E83761"/>
    <w:rsid w:val="00E839E4"/>
    <w:rsid w:val="00E842A2"/>
    <w:rsid w:val="00E84A01"/>
    <w:rsid w:val="00E84A8D"/>
    <w:rsid w:val="00E84BE9"/>
    <w:rsid w:val="00E84F4F"/>
    <w:rsid w:val="00E852C1"/>
    <w:rsid w:val="00E8595E"/>
    <w:rsid w:val="00E85C5B"/>
    <w:rsid w:val="00E86533"/>
    <w:rsid w:val="00E8795E"/>
    <w:rsid w:val="00E906B4"/>
    <w:rsid w:val="00E90AF3"/>
    <w:rsid w:val="00E90B06"/>
    <w:rsid w:val="00E913D0"/>
    <w:rsid w:val="00E91B6B"/>
    <w:rsid w:val="00E921AE"/>
    <w:rsid w:val="00E925B8"/>
    <w:rsid w:val="00E92A0F"/>
    <w:rsid w:val="00E92D7E"/>
    <w:rsid w:val="00E92FC8"/>
    <w:rsid w:val="00E93545"/>
    <w:rsid w:val="00E9372F"/>
    <w:rsid w:val="00E93844"/>
    <w:rsid w:val="00E94115"/>
    <w:rsid w:val="00E94703"/>
    <w:rsid w:val="00E951A0"/>
    <w:rsid w:val="00E9572E"/>
    <w:rsid w:val="00E95A01"/>
    <w:rsid w:val="00E96618"/>
    <w:rsid w:val="00E96854"/>
    <w:rsid w:val="00E97CC4"/>
    <w:rsid w:val="00E97DEF"/>
    <w:rsid w:val="00EA0733"/>
    <w:rsid w:val="00EA0FAB"/>
    <w:rsid w:val="00EA0FF5"/>
    <w:rsid w:val="00EA2205"/>
    <w:rsid w:val="00EA27B6"/>
    <w:rsid w:val="00EA3033"/>
    <w:rsid w:val="00EA3228"/>
    <w:rsid w:val="00EA3A43"/>
    <w:rsid w:val="00EA4A43"/>
    <w:rsid w:val="00EA4B55"/>
    <w:rsid w:val="00EA4E80"/>
    <w:rsid w:val="00EA5796"/>
    <w:rsid w:val="00EA681D"/>
    <w:rsid w:val="00EA6F2D"/>
    <w:rsid w:val="00EB004D"/>
    <w:rsid w:val="00EB038D"/>
    <w:rsid w:val="00EB0950"/>
    <w:rsid w:val="00EB1195"/>
    <w:rsid w:val="00EB1DAE"/>
    <w:rsid w:val="00EB2072"/>
    <w:rsid w:val="00EB2839"/>
    <w:rsid w:val="00EB3918"/>
    <w:rsid w:val="00EB3BF5"/>
    <w:rsid w:val="00EB3DF5"/>
    <w:rsid w:val="00EB40CC"/>
    <w:rsid w:val="00EB4640"/>
    <w:rsid w:val="00EB4D40"/>
    <w:rsid w:val="00EB4DFC"/>
    <w:rsid w:val="00EB515B"/>
    <w:rsid w:val="00EB5912"/>
    <w:rsid w:val="00EB59B1"/>
    <w:rsid w:val="00EB5BFB"/>
    <w:rsid w:val="00EB622A"/>
    <w:rsid w:val="00EB6372"/>
    <w:rsid w:val="00EB63F5"/>
    <w:rsid w:val="00EB6589"/>
    <w:rsid w:val="00EB6842"/>
    <w:rsid w:val="00EB6CB8"/>
    <w:rsid w:val="00EB6F3A"/>
    <w:rsid w:val="00EB7365"/>
    <w:rsid w:val="00EB7ACA"/>
    <w:rsid w:val="00EC0085"/>
    <w:rsid w:val="00EC0575"/>
    <w:rsid w:val="00EC0DE9"/>
    <w:rsid w:val="00EC0EB4"/>
    <w:rsid w:val="00EC18D2"/>
    <w:rsid w:val="00EC1924"/>
    <w:rsid w:val="00EC2685"/>
    <w:rsid w:val="00EC3491"/>
    <w:rsid w:val="00EC3C3E"/>
    <w:rsid w:val="00EC406D"/>
    <w:rsid w:val="00EC4BE5"/>
    <w:rsid w:val="00EC4F93"/>
    <w:rsid w:val="00EC5F00"/>
    <w:rsid w:val="00EC682C"/>
    <w:rsid w:val="00EC68C8"/>
    <w:rsid w:val="00EC6BBA"/>
    <w:rsid w:val="00EC76D0"/>
    <w:rsid w:val="00EC7760"/>
    <w:rsid w:val="00ED097A"/>
    <w:rsid w:val="00ED118A"/>
    <w:rsid w:val="00ED1859"/>
    <w:rsid w:val="00ED190C"/>
    <w:rsid w:val="00ED3649"/>
    <w:rsid w:val="00ED40C2"/>
    <w:rsid w:val="00ED420D"/>
    <w:rsid w:val="00ED4381"/>
    <w:rsid w:val="00ED4D1E"/>
    <w:rsid w:val="00ED4ED2"/>
    <w:rsid w:val="00ED5860"/>
    <w:rsid w:val="00ED59D0"/>
    <w:rsid w:val="00ED5DA0"/>
    <w:rsid w:val="00ED5E55"/>
    <w:rsid w:val="00ED699C"/>
    <w:rsid w:val="00ED6FE4"/>
    <w:rsid w:val="00ED6FF8"/>
    <w:rsid w:val="00ED786C"/>
    <w:rsid w:val="00EE065E"/>
    <w:rsid w:val="00EE1545"/>
    <w:rsid w:val="00EE1607"/>
    <w:rsid w:val="00EE17B4"/>
    <w:rsid w:val="00EE18E1"/>
    <w:rsid w:val="00EE1C39"/>
    <w:rsid w:val="00EE1CC5"/>
    <w:rsid w:val="00EE1DEE"/>
    <w:rsid w:val="00EE2601"/>
    <w:rsid w:val="00EE26D1"/>
    <w:rsid w:val="00EE271A"/>
    <w:rsid w:val="00EE2D34"/>
    <w:rsid w:val="00EE2F62"/>
    <w:rsid w:val="00EE3056"/>
    <w:rsid w:val="00EE39CB"/>
    <w:rsid w:val="00EE3ACB"/>
    <w:rsid w:val="00EE3C67"/>
    <w:rsid w:val="00EE3D34"/>
    <w:rsid w:val="00EE40A9"/>
    <w:rsid w:val="00EE438E"/>
    <w:rsid w:val="00EE46A8"/>
    <w:rsid w:val="00EE47D9"/>
    <w:rsid w:val="00EE4F34"/>
    <w:rsid w:val="00EE5169"/>
    <w:rsid w:val="00EE5533"/>
    <w:rsid w:val="00EE5542"/>
    <w:rsid w:val="00EE5A8A"/>
    <w:rsid w:val="00EE5D17"/>
    <w:rsid w:val="00EE5D8C"/>
    <w:rsid w:val="00EE67C7"/>
    <w:rsid w:val="00EE68D8"/>
    <w:rsid w:val="00EE6E41"/>
    <w:rsid w:val="00EE7F97"/>
    <w:rsid w:val="00EF02B0"/>
    <w:rsid w:val="00EF0C87"/>
    <w:rsid w:val="00EF1056"/>
    <w:rsid w:val="00EF11B7"/>
    <w:rsid w:val="00EF138E"/>
    <w:rsid w:val="00EF1A22"/>
    <w:rsid w:val="00EF1C62"/>
    <w:rsid w:val="00EF1F22"/>
    <w:rsid w:val="00EF1F97"/>
    <w:rsid w:val="00EF218C"/>
    <w:rsid w:val="00EF22BD"/>
    <w:rsid w:val="00EF30F4"/>
    <w:rsid w:val="00EF3232"/>
    <w:rsid w:val="00EF34D9"/>
    <w:rsid w:val="00EF3CC7"/>
    <w:rsid w:val="00EF410E"/>
    <w:rsid w:val="00EF4CEC"/>
    <w:rsid w:val="00EF52C6"/>
    <w:rsid w:val="00EF5347"/>
    <w:rsid w:val="00EF5684"/>
    <w:rsid w:val="00EF5992"/>
    <w:rsid w:val="00EF5C44"/>
    <w:rsid w:val="00EF5FD3"/>
    <w:rsid w:val="00EF61EC"/>
    <w:rsid w:val="00EF63DE"/>
    <w:rsid w:val="00EF63F8"/>
    <w:rsid w:val="00EF66AA"/>
    <w:rsid w:val="00EF722D"/>
    <w:rsid w:val="00EF76E0"/>
    <w:rsid w:val="00EF7A62"/>
    <w:rsid w:val="00EF7C85"/>
    <w:rsid w:val="00F0007F"/>
    <w:rsid w:val="00F0076F"/>
    <w:rsid w:val="00F01523"/>
    <w:rsid w:val="00F0172B"/>
    <w:rsid w:val="00F022DF"/>
    <w:rsid w:val="00F02636"/>
    <w:rsid w:val="00F02E19"/>
    <w:rsid w:val="00F039CE"/>
    <w:rsid w:val="00F03A0E"/>
    <w:rsid w:val="00F03EB8"/>
    <w:rsid w:val="00F045DA"/>
    <w:rsid w:val="00F04F0C"/>
    <w:rsid w:val="00F05CEC"/>
    <w:rsid w:val="00F0617C"/>
    <w:rsid w:val="00F0634C"/>
    <w:rsid w:val="00F07027"/>
    <w:rsid w:val="00F07A3B"/>
    <w:rsid w:val="00F07B89"/>
    <w:rsid w:val="00F101BC"/>
    <w:rsid w:val="00F10BF7"/>
    <w:rsid w:val="00F1110E"/>
    <w:rsid w:val="00F11494"/>
    <w:rsid w:val="00F119C2"/>
    <w:rsid w:val="00F11C7F"/>
    <w:rsid w:val="00F136C8"/>
    <w:rsid w:val="00F13D85"/>
    <w:rsid w:val="00F14791"/>
    <w:rsid w:val="00F14CB9"/>
    <w:rsid w:val="00F14CF4"/>
    <w:rsid w:val="00F15CAA"/>
    <w:rsid w:val="00F15E58"/>
    <w:rsid w:val="00F16FD6"/>
    <w:rsid w:val="00F17344"/>
    <w:rsid w:val="00F17CAE"/>
    <w:rsid w:val="00F17DA1"/>
    <w:rsid w:val="00F20365"/>
    <w:rsid w:val="00F2107D"/>
    <w:rsid w:val="00F21255"/>
    <w:rsid w:val="00F216EF"/>
    <w:rsid w:val="00F218B4"/>
    <w:rsid w:val="00F21C4B"/>
    <w:rsid w:val="00F21D22"/>
    <w:rsid w:val="00F223C5"/>
    <w:rsid w:val="00F22664"/>
    <w:rsid w:val="00F22704"/>
    <w:rsid w:val="00F22D1C"/>
    <w:rsid w:val="00F22E49"/>
    <w:rsid w:val="00F23CF0"/>
    <w:rsid w:val="00F242A5"/>
    <w:rsid w:val="00F24307"/>
    <w:rsid w:val="00F24400"/>
    <w:rsid w:val="00F25492"/>
    <w:rsid w:val="00F25CC7"/>
    <w:rsid w:val="00F26002"/>
    <w:rsid w:val="00F262AD"/>
    <w:rsid w:val="00F26880"/>
    <w:rsid w:val="00F2734A"/>
    <w:rsid w:val="00F30388"/>
    <w:rsid w:val="00F30788"/>
    <w:rsid w:val="00F30BF9"/>
    <w:rsid w:val="00F311D8"/>
    <w:rsid w:val="00F312C8"/>
    <w:rsid w:val="00F3155F"/>
    <w:rsid w:val="00F31649"/>
    <w:rsid w:val="00F327C1"/>
    <w:rsid w:val="00F32F7C"/>
    <w:rsid w:val="00F33039"/>
    <w:rsid w:val="00F33395"/>
    <w:rsid w:val="00F338E1"/>
    <w:rsid w:val="00F33F49"/>
    <w:rsid w:val="00F3467D"/>
    <w:rsid w:val="00F347ED"/>
    <w:rsid w:val="00F34A1E"/>
    <w:rsid w:val="00F359B9"/>
    <w:rsid w:val="00F35E61"/>
    <w:rsid w:val="00F36544"/>
    <w:rsid w:val="00F368A1"/>
    <w:rsid w:val="00F37405"/>
    <w:rsid w:val="00F376D9"/>
    <w:rsid w:val="00F377C5"/>
    <w:rsid w:val="00F37A24"/>
    <w:rsid w:val="00F37A82"/>
    <w:rsid w:val="00F40394"/>
    <w:rsid w:val="00F4057F"/>
    <w:rsid w:val="00F40784"/>
    <w:rsid w:val="00F4082E"/>
    <w:rsid w:val="00F410D7"/>
    <w:rsid w:val="00F414BB"/>
    <w:rsid w:val="00F41DA6"/>
    <w:rsid w:val="00F41E3C"/>
    <w:rsid w:val="00F425D2"/>
    <w:rsid w:val="00F42BAE"/>
    <w:rsid w:val="00F42EB9"/>
    <w:rsid w:val="00F434A8"/>
    <w:rsid w:val="00F4362E"/>
    <w:rsid w:val="00F43B39"/>
    <w:rsid w:val="00F43C96"/>
    <w:rsid w:val="00F443FF"/>
    <w:rsid w:val="00F4447C"/>
    <w:rsid w:val="00F445C3"/>
    <w:rsid w:val="00F44EA6"/>
    <w:rsid w:val="00F44EEC"/>
    <w:rsid w:val="00F4550E"/>
    <w:rsid w:val="00F45B82"/>
    <w:rsid w:val="00F45C3A"/>
    <w:rsid w:val="00F461BA"/>
    <w:rsid w:val="00F46736"/>
    <w:rsid w:val="00F469CA"/>
    <w:rsid w:val="00F46A88"/>
    <w:rsid w:val="00F475EF"/>
    <w:rsid w:val="00F47656"/>
    <w:rsid w:val="00F4793A"/>
    <w:rsid w:val="00F47ABF"/>
    <w:rsid w:val="00F5003F"/>
    <w:rsid w:val="00F50061"/>
    <w:rsid w:val="00F50256"/>
    <w:rsid w:val="00F503F4"/>
    <w:rsid w:val="00F50F23"/>
    <w:rsid w:val="00F50F4A"/>
    <w:rsid w:val="00F517A2"/>
    <w:rsid w:val="00F523F3"/>
    <w:rsid w:val="00F529DE"/>
    <w:rsid w:val="00F52F55"/>
    <w:rsid w:val="00F530A6"/>
    <w:rsid w:val="00F53179"/>
    <w:rsid w:val="00F536B5"/>
    <w:rsid w:val="00F53A78"/>
    <w:rsid w:val="00F54395"/>
    <w:rsid w:val="00F54713"/>
    <w:rsid w:val="00F551B3"/>
    <w:rsid w:val="00F55E2A"/>
    <w:rsid w:val="00F56707"/>
    <w:rsid w:val="00F56AF3"/>
    <w:rsid w:val="00F56C75"/>
    <w:rsid w:val="00F5718C"/>
    <w:rsid w:val="00F57192"/>
    <w:rsid w:val="00F57292"/>
    <w:rsid w:val="00F57917"/>
    <w:rsid w:val="00F60FFE"/>
    <w:rsid w:val="00F61781"/>
    <w:rsid w:val="00F62128"/>
    <w:rsid w:val="00F6253C"/>
    <w:rsid w:val="00F62A21"/>
    <w:rsid w:val="00F62A75"/>
    <w:rsid w:val="00F639F0"/>
    <w:rsid w:val="00F63F2D"/>
    <w:rsid w:val="00F64218"/>
    <w:rsid w:val="00F64307"/>
    <w:rsid w:val="00F648AE"/>
    <w:rsid w:val="00F64ACC"/>
    <w:rsid w:val="00F653F9"/>
    <w:rsid w:val="00F654E9"/>
    <w:rsid w:val="00F656B1"/>
    <w:rsid w:val="00F65C12"/>
    <w:rsid w:val="00F66006"/>
    <w:rsid w:val="00F6602F"/>
    <w:rsid w:val="00F6604F"/>
    <w:rsid w:val="00F666DC"/>
    <w:rsid w:val="00F676DE"/>
    <w:rsid w:val="00F67FC4"/>
    <w:rsid w:val="00F701AD"/>
    <w:rsid w:val="00F714FC"/>
    <w:rsid w:val="00F717FE"/>
    <w:rsid w:val="00F7216C"/>
    <w:rsid w:val="00F725A2"/>
    <w:rsid w:val="00F72B8C"/>
    <w:rsid w:val="00F7303E"/>
    <w:rsid w:val="00F73BFB"/>
    <w:rsid w:val="00F73CF7"/>
    <w:rsid w:val="00F7441B"/>
    <w:rsid w:val="00F74A7C"/>
    <w:rsid w:val="00F74E1C"/>
    <w:rsid w:val="00F75C3C"/>
    <w:rsid w:val="00F7681A"/>
    <w:rsid w:val="00F7738D"/>
    <w:rsid w:val="00F77E75"/>
    <w:rsid w:val="00F80496"/>
    <w:rsid w:val="00F808A1"/>
    <w:rsid w:val="00F8099A"/>
    <w:rsid w:val="00F80A40"/>
    <w:rsid w:val="00F80B35"/>
    <w:rsid w:val="00F80EEF"/>
    <w:rsid w:val="00F8140C"/>
    <w:rsid w:val="00F81539"/>
    <w:rsid w:val="00F8295C"/>
    <w:rsid w:val="00F82F0C"/>
    <w:rsid w:val="00F8329C"/>
    <w:rsid w:val="00F842D4"/>
    <w:rsid w:val="00F8475E"/>
    <w:rsid w:val="00F8531D"/>
    <w:rsid w:val="00F86056"/>
    <w:rsid w:val="00F86222"/>
    <w:rsid w:val="00F8629F"/>
    <w:rsid w:val="00F8631D"/>
    <w:rsid w:val="00F867CD"/>
    <w:rsid w:val="00F86C13"/>
    <w:rsid w:val="00F87280"/>
    <w:rsid w:val="00F9017B"/>
    <w:rsid w:val="00F903C4"/>
    <w:rsid w:val="00F91014"/>
    <w:rsid w:val="00F91237"/>
    <w:rsid w:val="00F917D6"/>
    <w:rsid w:val="00F91890"/>
    <w:rsid w:val="00F91F2D"/>
    <w:rsid w:val="00F92222"/>
    <w:rsid w:val="00F925E1"/>
    <w:rsid w:val="00F92905"/>
    <w:rsid w:val="00F9298C"/>
    <w:rsid w:val="00F92AFC"/>
    <w:rsid w:val="00F9312F"/>
    <w:rsid w:val="00F934D8"/>
    <w:rsid w:val="00F946F0"/>
    <w:rsid w:val="00F94BAC"/>
    <w:rsid w:val="00F9526E"/>
    <w:rsid w:val="00F956E7"/>
    <w:rsid w:val="00F96B6D"/>
    <w:rsid w:val="00F96BD6"/>
    <w:rsid w:val="00F97AA6"/>
    <w:rsid w:val="00F97BE6"/>
    <w:rsid w:val="00F97C73"/>
    <w:rsid w:val="00F97F77"/>
    <w:rsid w:val="00FA0334"/>
    <w:rsid w:val="00FA0709"/>
    <w:rsid w:val="00FA0839"/>
    <w:rsid w:val="00FA1024"/>
    <w:rsid w:val="00FA1629"/>
    <w:rsid w:val="00FA1859"/>
    <w:rsid w:val="00FA1947"/>
    <w:rsid w:val="00FA2563"/>
    <w:rsid w:val="00FA2890"/>
    <w:rsid w:val="00FA405B"/>
    <w:rsid w:val="00FA4212"/>
    <w:rsid w:val="00FA4734"/>
    <w:rsid w:val="00FA5DE5"/>
    <w:rsid w:val="00FA6CD5"/>
    <w:rsid w:val="00FA71B5"/>
    <w:rsid w:val="00FA726D"/>
    <w:rsid w:val="00FA752D"/>
    <w:rsid w:val="00FA766A"/>
    <w:rsid w:val="00FA7729"/>
    <w:rsid w:val="00FB0B3D"/>
    <w:rsid w:val="00FB0D22"/>
    <w:rsid w:val="00FB104B"/>
    <w:rsid w:val="00FB1696"/>
    <w:rsid w:val="00FB1895"/>
    <w:rsid w:val="00FB19F7"/>
    <w:rsid w:val="00FB25AA"/>
    <w:rsid w:val="00FB2A5B"/>
    <w:rsid w:val="00FB3259"/>
    <w:rsid w:val="00FB32AF"/>
    <w:rsid w:val="00FB3308"/>
    <w:rsid w:val="00FB371C"/>
    <w:rsid w:val="00FB3752"/>
    <w:rsid w:val="00FB3A51"/>
    <w:rsid w:val="00FB3F5D"/>
    <w:rsid w:val="00FB4DC2"/>
    <w:rsid w:val="00FB530F"/>
    <w:rsid w:val="00FB650C"/>
    <w:rsid w:val="00FB667E"/>
    <w:rsid w:val="00FB7375"/>
    <w:rsid w:val="00FB7E88"/>
    <w:rsid w:val="00FC175F"/>
    <w:rsid w:val="00FC1C39"/>
    <w:rsid w:val="00FC1D60"/>
    <w:rsid w:val="00FC2A1E"/>
    <w:rsid w:val="00FC2FD7"/>
    <w:rsid w:val="00FC32C9"/>
    <w:rsid w:val="00FC4041"/>
    <w:rsid w:val="00FC5395"/>
    <w:rsid w:val="00FC5776"/>
    <w:rsid w:val="00FC5C10"/>
    <w:rsid w:val="00FC5C11"/>
    <w:rsid w:val="00FC676A"/>
    <w:rsid w:val="00FC7069"/>
    <w:rsid w:val="00FC766D"/>
    <w:rsid w:val="00FC7672"/>
    <w:rsid w:val="00FC77AF"/>
    <w:rsid w:val="00FD0390"/>
    <w:rsid w:val="00FD0D09"/>
    <w:rsid w:val="00FD1AC4"/>
    <w:rsid w:val="00FD1DCE"/>
    <w:rsid w:val="00FD21C3"/>
    <w:rsid w:val="00FD21CA"/>
    <w:rsid w:val="00FD260E"/>
    <w:rsid w:val="00FD2DE6"/>
    <w:rsid w:val="00FD3542"/>
    <w:rsid w:val="00FD393B"/>
    <w:rsid w:val="00FD4381"/>
    <w:rsid w:val="00FD4CAF"/>
    <w:rsid w:val="00FD4DB0"/>
    <w:rsid w:val="00FD53E5"/>
    <w:rsid w:val="00FD573A"/>
    <w:rsid w:val="00FD578F"/>
    <w:rsid w:val="00FD5CA9"/>
    <w:rsid w:val="00FD5F87"/>
    <w:rsid w:val="00FD625E"/>
    <w:rsid w:val="00FD6283"/>
    <w:rsid w:val="00FD648F"/>
    <w:rsid w:val="00FD6582"/>
    <w:rsid w:val="00FD6B54"/>
    <w:rsid w:val="00FD7567"/>
    <w:rsid w:val="00FD7ACC"/>
    <w:rsid w:val="00FD7AF9"/>
    <w:rsid w:val="00FD7CA4"/>
    <w:rsid w:val="00FE020B"/>
    <w:rsid w:val="00FE048D"/>
    <w:rsid w:val="00FE05CA"/>
    <w:rsid w:val="00FE1048"/>
    <w:rsid w:val="00FE21CE"/>
    <w:rsid w:val="00FE22C9"/>
    <w:rsid w:val="00FE24D6"/>
    <w:rsid w:val="00FE2643"/>
    <w:rsid w:val="00FE26A7"/>
    <w:rsid w:val="00FE4609"/>
    <w:rsid w:val="00FE4A83"/>
    <w:rsid w:val="00FE6154"/>
    <w:rsid w:val="00FE6A16"/>
    <w:rsid w:val="00FE7D06"/>
    <w:rsid w:val="00FF0064"/>
    <w:rsid w:val="00FF02AC"/>
    <w:rsid w:val="00FF07EB"/>
    <w:rsid w:val="00FF0C45"/>
    <w:rsid w:val="00FF256A"/>
    <w:rsid w:val="00FF2E82"/>
    <w:rsid w:val="00FF4BC4"/>
    <w:rsid w:val="00FF5BD5"/>
    <w:rsid w:val="00FF6089"/>
    <w:rsid w:val="00FF62BD"/>
    <w:rsid w:val="00FF6A3C"/>
    <w:rsid w:val="00FF7D2E"/>
    <w:rsid w:val="01327BCE"/>
    <w:rsid w:val="0161C445"/>
    <w:rsid w:val="01720D59"/>
    <w:rsid w:val="0196F77D"/>
    <w:rsid w:val="0199B3AC"/>
    <w:rsid w:val="01C31242"/>
    <w:rsid w:val="01C73096"/>
    <w:rsid w:val="0204D44F"/>
    <w:rsid w:val="0217A21A"/>
    <w:rsid w:val="0228C2C3"/>
    <w:rsid w:val="022A77FE"/>
    <w:rsid w:val="02361E9A"/>
    <w:rsid w:val="0256A053"/>
    <w:rsid w:val="025B8D75"/>
    <w:rsid w:val="02F9AFE1"/>
    <w:rsid w:val="02FC79DC"/>
    <w:rsid w:val="02FCA9E6"/>
    <w:rsid w:val="030ACD3B"/>
    <w:rsid w:val="0362E3CE"/>
    <w:rsid w:val="0382176F"/>
    <w:rsid w:val="04143E66"/>
    <w:rsid w:val="049043B1"/>
    <w:rsid w:val="04A48E1C"/>
    <w:rsid w:val="04EA28B0"/>
    <w:rsid w:val="051AD2AC"/>
    <w:rsid w:val="0576A089"/>
    <w:rsid w:val="05A0A38B"/>
    <w:rsid w:val="05CC2322"/>
    <w:rsid w:val="06AFA774"/>
    <w:rsid w:val="06EC28D9"/>
    <w:rsid w:val="06F6A626"/>
    <w:rsid w:val="071029DF"/>
    <w:rsid w:val="07315F49"/>
    <w:rsid w:val="0784D42B"/>
    <w:rsid w:val="078E058D"/>
    <w:rsid w:val="07E37251"/>
    <w:rsid w:val="0829BB8D"/>
    <w:rsid w:val="085DCB67"/>
    <w:rsid w:val="08BE23D5"/>
    <w:rsid w:val="09332A7F"/>
    <w:rsid w:val="095E9773"/>
    <w:rsid w:val="097148D0"/>
    <w:rsid w:val="09B9119F"/>
    <w:rsid w:val="0A004B88"/>
    <w:rsid w:val="0A1D878E"/>
    <w:rsid w:val="0ABEF3EE"/>
    <w:rsid w:val="0ADD22B4"/>
    <w:rsid w:val="0B291494"/>
    <w:rsid w:val="0B6CB5A9"/>
    <w:rsid w:val="0B6F9B74"/>
    <w:rsid w:val="0B817CAA"/>
    <w:rsid w:val="0B8BF7FB"/>
    <w:rsid w:val="0BC2F7B9"/>
    <w:rsid w:val="0BC6B39B"/>
    <w:rsid w:val="0BDA9D38"/>
    <w:rsid w:val="0BDEEC73"/>
    <w:rsid w:val="0BE4C8EA"/>
    <w:rsid w:val="0C79B530"/>
    <w:rsid w:val="0D52BC8D"/>
    <w:rsid w:val="0D6A8816"/>
    <w:rsid w:val="0D816707"/>
    <w:rsid w:val="0DAC4E6D"/>
    <w:rsid w:val="0DAC770F"/>
    <w:rsid w:val="0DF12437"/>
    <w:rsid w:val="0DF1348E"/>
    <w:rsid w:val="0E1E587A"/>
    <w:rsid w:val="0E2D6A0F"/>
    <w:rsid w:val="0EB266BD"/>
    <w:rsid w:val="0ECC6C84"/>
    <w:rsid w:val="0EEBCDD9"/>
    <w:rsid w:val="0EFF5F87"/>
    <w:rsid w:val="0F183B73"/>
    <w:rsid w:val="0F22025C"/>
    <w:rsid w:val="10533001"/>
    <w:rsid w:val="106B09DB"/>
    <w:rsid w:val="1072CA5F"/>
    <w:rsid w:val="1094B0E3"/>
    <w:rsid w:val="109DE466"/>
    <w:rsid w:val="10A3D8EF"/>
    <w:rsid w:val="10AC4724"/>
    <w:rsid w:val="10F119AD"/>
    <w:rsid w:val="11033006"/>
    <w:rsid w:val="1121671F"/>
    <w:rsid w:val="112ACF4E"/>
    <w:rsid w:val="117B36FD"/>
    <w:rsid w:val="11BBA076"/>
    <w:rsid w:val="11C2D65D"/>
    <w:rsid w:val="11D1ABAC"/>
    <w:rsid w:val="11D87743"/>
    <w:rsid w:val="12342040"/>
    <w:rsid w:val="12522FEE"/>
    <w:rsid w:val="1281BE21"/>
    <w:rsid w:val="12A1F0A8"/>
    <w:rsid w:val="12A5A290"/>
    <w:rsid w:val="139178DE"/>
    <w:rsid w:val="13B065AE"/>
    <w:rsid w:val="13C96399"/>
    <w:rsid w:val="13DBFAA2"/>
    <w:rsid w:val="150D47C0"/>
    <w:rsid w:val="1544D591"/>
    <w:rsid w:val="15500526"/>
    <w:rsid w:val="15C1DA32"/>
    <w:rsid w:val="1706D3E0"/>
    <w:rsid w:val="1716E645"/>
    <w:rsid w:val="173F9471"/>
    <w:rsid w:val="1745037A"/>
    <w:rsid w:val="1752BCB5"/>
    <w:rsid w:val="1842C2E9"/>
    <w:rsid w:val="18710E24"/>
    <w:rsid w:val="1884BC79"/>
    <w:rsid w:val="18E6507A"/>
    <w:rsid w:val="18E915E0"/>
    <w:rsid w:val="19030541"/>
    <w:rsid w:val="1940CA56"/>
    <w:rsid w:val="19781C2C"/>
    <w:rsid w:val="1984717A"/>
    <w:rsid w:val="19EB2721"/>
    <w:rsid w:val="1A0C552D"/>
    <w:rsid w:val="1A4228DD"/>
    <w:rsid w:val="1A6170B3"/>
    <w:rsid w:val="1A71AF52"/>
    <w:rsid w:val="1AB6654A"/>
    <w:rsid w:val="1ABB7543"/>
    <w:rsid w:val="1B28A8B7"/>
    <w:rsid w:val="1B49FA2B"/>
    <w:rsid w:val="1B5AEAC7"/>
    <w:rsid w:val="1BD81F89"/>
    <w:rsid w:val="1BEB5D38"/>
    <w:rsid w:val="1C11E4F6"/>
    <w:rsid w:val="1C74A31F"/>
    <w:rsid w:val="1CC935DD"/>
    <w:rsid w:val="1D150E70"/>
    <w:rsid w:val="1D19230D"/>
    <w:rsid w:val="1DDD226F"/>
    <w:rsid w:val="1E0B42DD"/>
    <w:rsid w:val="1E23ADCC"/>
    <w:rsid w:val="1E63CEFF"/>
    <w:rsid w:val="1E840083"/>
    <w:rsid w:val="1E94EAE0"/>
    <w:rsid w:val="1E9728D5"/>
    <w:rsid w:val="1ED0633E"/>
    <w:rsid w:val="1ED0B043"/>
    <w:rsid w:val="1EE3E953"/>
    <w:rsid w:val="1EEC7B16"/>
    <w:rsid w:val="1F2E5B29"/>
    <w:rsid w:val="1F596CB0"/>
    <w:rsid w:val="1F5B8664"/>
    <w:rsid w:val="1F918108"/>
    <w:rsid w:val="1FB8BD2F"/>
    <w:rsid w:val="1FE40DC4"/>
    <w:rsid w:val="20BDBFEB"/>
    <w:rsid w:val="20DF5CBA"/>
    <w:rsid w:val="20F4616D"/>
    <w:rsid w:val="2118ED61"/>
    <w:rsid w:val="21283C52"/>
    <w:rsid w:val="212ED16A"/>
    <w:rsid w:val="216A91C2"/>
    <w:rsid w:val="21EFCC2A"/>
    <w:rsid w:val="22196E83"/>
    <w:rsid w:val="2264D1B5"/>
    <w:rsid w:val="2298BCF4"/>
    <w:rsid w:val="230BE644"/>
    <w:rsid w:val="236960DC"/>
    <w:rsid w:val="23A9C46E"/>
    <w:rsid w:val="24D437D6"/>
    <w:rsid w:val="24E5BA20"/>
    <w:rsid w:val="24F0020B"/>
    <w:rsid w:val="251448E8"/>
    <w:rsid w:val="25A23C7C"/>
    <w:rsid w:val="25F53284"/>
    <w:rsid w:val="25F9D22A"/>
    <w:rsid w:val="262D74F9"/>
    <w:rsid w:val="2631A420"/>
    <w:rsid w:val="2659FBE9"/>
    <w:rsid w:val="2670F312"/>
    <w:rsid w:val="267A806B"/>
    <w:rsid w:val="267E4ED2"/>
    <w:rsid w:val="268B95EB"/>
    <w:rsid w:val="26A276DB"/>
    <w:rsid w:val="26C0E0CF"/>
    <w:rsid w:val="27071E56"/>
    <w:rsid w:val="270751A2"/>
    <w:rsid w:val="270A45E9"/>
    <w:rsid w:val="2728104E"/>
    <w:rsid w:val="2736A6A7"/>
    <w:rsid w:val="274466CF"/>
    <w:rsid w:val="276B42A7"/>
    <w:rsid w:val="27ADCA66"/>
    <w:rsid w:val="281B55C2"/>
    <w:rsid w:val="2843C8EF"/>
    <w:rsid w:val="2876D50E"/>
    <w:rsid w:val="28A7D615"/>
    <w:rsid w:val="28A98515"/>
    <w:rsid w:val="28E2AE62"/>
    <w:rsid w:val="28FE9790"/>
    <w:rsid w:val="28FF61D4"/>
    <w:rsid w:val="29B21A10"/>
    <w:rsid w:val="2A14348D"/>
    <w:rsid w:val="2A1C1E06"/>
    <w:rsid w:val="2A30CB30"/>
    <w:rsid w:val="2A369607"/>
    <w:rsid w:val="2A94CC17"/>
    <w:rsid w:val="2A96D6D9"/>
    <w:rsid w:val="2AC94152"/>
    <w:rsid w:val="2ACDE8B9"/>
    <w:rsid w:val="2AE04885"/>
    <w:rsid w:val="2AE43283"/>
    <w:rsid w:val="2BAF12D7"/>
    <w:rsid w:val="2C110F32"/>
    <w:rsid w:val="2C751A7E"/>
    <w:rsid w:val="2D54B6F8"/>
    <w:rsid w:val="2DB478B7"/>
    <w:rsid w:val="2DC581D4"/>
    <w:rsid w:val="2DD5D16F"/>
    <w:rsid w:val="2DD9311B"/>
    <w:rsid w:val="2E77A23D"/>
    <w:rsid w:val="2EC0B31B"/>
    <w:rsid w:val="2F2C64C1"/>
    <w:rsid w:val="2F2CA619"/>
    <w:rsid w:val="2F2E46D6"/>
    <w:rsid w:val="2FB1674F"/>
    <w:rsid w:val="2FC23851"/>
    <w:rsid w:val="2FD936FE"/>
    <w:rsid w:val="30BF36D9"/>
    <w:rsid w:val="30C68456"/>
    <w:rsid w:val="30CC8CA2"/>
    <w:rsid w:val="30F61C98"/>
    <w:rsid w:val="315E04B4"/>
    <w:rsid w:val="31D3DA5E"/>
    <w:rsid w:val="31D9572D"/>
    <w:rsid w:val="324DEBB3"/>
    <w:rsid w:val="325E3368"/>
    <w:rsid w:val="32732F46"/>
    <w:rsid w:val="328F54C8"/>
    <w:rsid w:val="32933EAB"/>
    <w:rsid w:val="32BB5CD8"/>
    <w:rsid w:val="3385D614"/>
    <w:rsid w:val="33FA162D"/>
    <w:rsid w:val="33FD56F6"/>
    <w:rsid w:val="343554CC"/>
    <w:rsid w:val="348A76E7"/>
    <w:rsid w:val="34B9DB83"/>
    <w:rsid w:val="35550FDA"/>
    <w:rsid w:val="3581FF43"/>
    <w:rsid w:val="36408A9B"/>
    <w:rsid w:val="364A46AB"/>
    <w:rsid w:val="36530950"/>
    <w:rsid w:val="36743160"/>
    <w:rsid w:val="36775919"/>
    <w:rsid w:val="36E4BA8C"/>
    <w:rsid w:val="3710E0F8"/>
    <w:rsid w:val="37409A31"/>
    <w:rsid w:val="37E0EC7A"/>
    <w:rsid w:val="38D4BB57"/>
    <w:rsid w:val="3952024E"/>
    <w:rsid w:val="3994B228"/>
    <w:rsid w:val="39964E5F"/>
    <w:rsid w:val="39FE02FE"/>
    <w:rsid w:val="3A70B656"/>
    <w:rsid w:val="3AC06FE1"/>
    <w:rsid w:val="3ACACFA6"/>
    <w:rsid w:val="3B21F08C"/>
    <w:rsid w:val="3B2C8EDB"/>
    <w:rsid w:val="3B3D1C32"/>
    <w:rsid w:val="3B7301EF"/>
    <w:rsid w:val="3B7D2D42"/>
    <w:rsid w:val="3B7EE6C0"/>
    <w:rsid w:val="3BB3AA25"/>
    <w:rsid w:val="3C46AF0D"/>
    <w:rsid w:val="3C594882"/>
    <w:rsid w:val="3CB59178"/>
    <w:rsid w:val="3CEC90F4"/>
    <w:rsid w:val="3CF1D2EE"/>
    <w:rsid w:val="3D038736"/>
    <w:rsid w:val="3D0A9BC4"/>
    <w:rsid w:val="3D7E2128"/>
    <w:rsid w:val="3D810F4F"/>
    <w:rsid w:val="3DD28FC4"/>
    <w:rsid w:val="3E50B52B"/>
    <w:rsid w:val="3E6BF803"/>
    <w:rsid w:val="3EA14F10"/>
    <w:rsid w:val="3EA5FDE8"/>
    <w:rsid w:val="3EA708B8"/>
    <w:rsid w:val="3EA8476C"/>
    <w:rsid w:val="3EBE6427"/>
    <w:rsid w:val="3EDC2139"/>
    <w:rsid w:val="3EF5863A"/>
    <w:rsid w:val="3F5BAD66"/>
    <w:rsid w:val="3F655CAA"/>
    <w:rsid w:val="3F77EC55"/>
    <w:rsid w:val="3FDFD6C4"/>
    <w:rsid w:val="403D2272"/>
    <w:rsid w:val="404498D4"/>
    <w:rsid w:val="40CAF845"/>
    <w:rsid w:val="41841C17"/>
    <w:rsid w:val="41A06428"/>
    <w:rsid w:val="41BEDEF6"/>
    <w:rsid w:val="4292ADA6"/>
    <w:rsid w:val="42C15BE3"/>
    <w:rsid w:val="42FA3026"/>
    <w:rsid w:val="431C80E3"/>
    <w:rsid w:val="4329AECF"/>
    <w:rsid w:val="438466C3"/>
    <w:rsid w:val="44151016"/>
    <w:rsid w:val="442EEC05"/>
    <w:rsid w:val="44661693"/>
    <w:rsid w:val="44ADF030"/>
    <w:rsid w:val="44B0FDEB"/>
    <w:rsid w:val="44B8EB63"/>
    <w:rsid w:val="4520E3F2"/>
    <w:rsid w:val="45278782"/>
    <w:rsid w:val="4527FB7B"/>
    <w:rsid w:val="4536FD3F"/>
    <w:rsid w:val="45A8FE68"/>
    <w:rsid w:val="46139C8F"/>
    <w:rsid w:val="4613A0B3"/>
    <w:rsid w:val="467B96E3"/>
    <w:rsid w:val="46B5749F"/>
    <w:rsid w:val="46D6514F"/>
    <w:rsid w:val="46DFEFA6"/>
    <w:rsid w:val="471C7C0D"/>
    <w:rsid w:val="471DB30B"/>
    <w:rsid w:val="473B4C56"/>
    <w:rsid w:val="478249CF"/>
    <w:rsid w:val="47F72D3D"/>
    <w:rsid w:val="4876C28F"/>
    <w:rsid w:val="48932915"/>
    <w:rsid w:val="489DAD7D"/>
    <w:rsid w:val="48BD2144"/>
    <w:rsid w:val="48CACF76"/>
    <w:rsid w:val="48E68669"/>
    <w:rsid w:val="48EFB777"/>
    <w:rsid w:val="49246CD2"/>
    <w:rsid w:val="494CE562"/>
    <w:rsid w:val="49864682"/>
    <w:rsid w:val="49AA6AE5"/>
    <w:rsid w:val="49BFD881"/>
    <w:rsid w:val="4A1CF822"/>
    <w:rsid w:val="4A974E73"/>
    <w:rsid w:val="4AFE3829"/>
    <w:rsid w:val="4B2861A9"/>
    <w:rsid w:val="4B59A338"/>
    <w:rsid w:val="4B83D37C"/>
    <w:rsid w:val="4BBA74AB"/>
    <w:rsid w:val="4BE31D87"/>
    <w:rsid w:val="4C6B5449"/>
    <w:rsid w:val="4C94359A"/>
    <w:rsid w:val="4D0962D5"/>
    <w:rsid w:val="4D5E3A21"/>
    <w:rsid w:val="4DA209D7"/>
    <w:rsid w:val="4DA7350C"/>
    <w:rsid w:val="4DDC95CE"/>
    <w:rsid w:val="4E2B6251"/>
    <w:rsid w:val="4E381C31"/>
    <w:rsid w:val="4E5E191F"/>
    <w:rsid w:val="4E67A5E8"/>
    <w:rsid w:val="4E87EFB5"/>
    <w:rsid w:val="4E90CD39"/>
    <w:rsid w:val="4E9D63A3"/>
    <w:rsid w:val="4EC249A4"/>
    <w:rsid w:val="4F5F852E"/>
    <w:rsid w:val="4F694CDE"/>
    <w:rsid w:val="4F6EA62C"/>
    <w:rsid w:val="4F798F4A"/>
    <w:rsid w:val="4F9CA339"/>
    <w:rsid w:val="4FA9ACE5"/>
    <w:rsid w:val="4FC9483F"/>
    <w:rsid w:val="4FD4C6FD"/>
    <w:rsid w:val="505F96CC"/>
    <w:rsid w:val="507E45A2"/>
    <w:rsid w:val="50E6AB31"/>
    <w:rsid w:val="511AA3FD"/>
    <w:rsid w:val="51357C8D"/>
    <w:rsid w:val="5152F2FE"/>
    <w:rsid w:val="519D2D12"/>
    <w:rsid w:val="520E669C"/>
    <w:rsid w:val="523B0526"/>
    <w:rsid w:val="5240F0A5"/>
    <w:rsid w:val="526EF804"/>
    <w:rsid w:val="52769696"/>
    <w:rsid w:val="52903C4D"/>
    <w:rsid w:val="52B64A77"/>
    <w:rsid w:val="53741ED5"/>
    <w:rsid w:val="5392496B"/>
    <w:rsid w:val="53989854"/>
    <w:rsid w:val="53E683D5"/>
    <w:rsid w:val="544432EF"/>
    <w:rsid w:val="549F6A9E"/>
    <w:rsid w:val="54D3FADB"/>
    <w:rsid w:val="55023AE0"/>
    <w:rsid w:val="5542F2D6"/>
    <w:rsid w:val="555CDFC7"/>
    <w:rsid w:val="55745729"/>
    <w:rsid w:val="55B18552"/>
    <w:rsid w:val="5719324D"/>
    <w:rsid w:val="574D7914"/>
    <w:rsid w:val="5752F7D4"/>
    <w:rsid w:val="576841BD"/>
    <w:rsid w:val="5777C9F5"/>
    <w:rsid w:val="57D6E6E5"/>
    <w:rsid w:val="57D72ED1"/>
    <w:rsid w:val="583F2E9E"/>
    <w:rsid w:val="587E6BC0"/>
    <w:rsid w:val="58836032"/>
    <w:rsid w:val="58A945B1"/>
    <w:rsid w:val="59079A82"/>
    <w:rsid w:val="59A0AF95"/>
    <w:rsid w:val="59AEE9CD"/>
    <w:rsid w:val="59C20FF7"/>
    <w:rsid w:val="59EEC4BF"/>
    <w:rsid w:val="5A12F7AF"/>
    <w:rsid w:val="5A1BE187"/>
    <w:rsid w:val="5A1C0AC5"/>
    <w:rsid w:val="5A2460E3"/>
    <w:rsid w:val="5A362931"/>
    <w:rsid w:val="5A4CC10B"/>
    <w:rsid w:val="5A59FF7D"/>
    <w:rsid w:val="5A740EEE"/>
    <w:rsid w:val="5AA2E1F0"/>
    <w:rsid w:val="5AE49EBA"/>
    <w:rsid w:val="5AF69199"/>
    <w:rsid w:val="5B56ABC4"/>
    <w:rsid w:val="5BA8BF49"/>
    <w:rsid w:val="5BAD8513"/>
    <w:rsid w:val="5C41F21F"/>
    <w:rsid w:val="5C979016"/>
    <w:rsid w:val="5D41FC0A"/>
    <w:rsid w:val="5D5E55F7"/>
    <w:rsid w:val="5DB010BD"/>
    <w:rsid w:val="5E913763"/>
    <w:rsid w:val="5EB2F5A7"/>
    <w:rsid w:val="5EB8CAB5"/>
    <w:rsid w:val="5EF5C873"/>
    <w:rsid w:val="5F067386"/>
    <w:rsid w:val="5F20EF93"/>
    <w:rsid w:val="5F2A2112"/>
    <w:rsid w:val="5F8D14CE"/>
    <w:rsid w:val="5F9779D3"/>
    <w:rsid w:val="6010CE06"/>
    <w:rsid w:val="601DEDD9"/>
    <w:rsid w:val="605674E2"/>
    <w:rsid w:val="609EEEDA"/>
    <w:rsid w:val="60C22AC6"/>
    <w:rsid w:val="618CF9EE"/>
    <w:rsid w:val="61E58522"/>
    <w:rsid w:val="62031E2D"/>
    <w:rsid w:val="620591CC"/>
    <w:rsid w:val="621BAC90"/>
    <w:rsid w:val="622F8B2A"/>
    <w:rsid w:val="631C857A"/>
    <w:rsid w:val="6320D61C"/>
    <w:rsid w:val="6377A6E9"/>
    <w:rsid w:val="63982F24"/>
    <w:rsid w:val="63AA97C7"/>
    <w:rsid w:val="63FB0F50"/>
    <w:rsid w:val="646A3EBA"/>
    <w:rsid w:val="64C74500"/>
    <w:rsid w:val="64D26CE0"/>
    <w:rsid w:val="65007F61"/>
    <w:rsid w:val="652E1276"/>
    <w:rsid w:val="658C2212"/>
    <w:rsid w:val="66497CEB"/>
    <w:rsid w:val="6655CD8B"/>
    <w:rsid w:val="665C7EC9"/>
    <w:rsid w:val="666F43EE"/>
    <w:rsid w:val="67AC2605"/>
    <w:rsid w:val="67BB690C"/>
    <w:rsid w:val="67D61AF4"/>
    <w:rsid w:val="67D79645"/>
    <w:rsid w:val="6825F972"/>
    <w:rsid w:val="682836B4"/>
    <w:rsid w:val="684A2991"/>
    <w:rsid w:val="68815D9F"/>
    <w:rsid w:val="68981006"/>
    <w:rsid w:val="68B3980C"/>
    <w:rsid w:val="69259155"/>
    <w:rsid w:val="69291472"/>
    <w:rsid w:val="698CD3FD"/>
    <w:rsid w:val="6A14E139"/>
    <w:rsid w:val="6AB5161D"/>
    <w:rsid w:val="6AC8A659"/>
    <w:rsid w:val="6BFD7D25"/>
    <w:rsid w:val="6C2014AD"/>
    <w:rsid w:val="6C32DC33"/>
    <w:rsid w:val="6C6A0C76"/>
    <w:rsid w:val="6CB77372"/>
    <w:rsid w:val="6CC32A07"/>
    <w:rsid w:val="6CCEAB4F"/>
    <w:rsid w:val="6CCEDD6C"/>
    <w:rsid w:val="6CE93A7B"/>
    <w:rsid w:val="6CEB9F48"/>
    <w:rsid w:val="6D6E98C5"/>
    <w:rsid w:val="6D8C8110"/>
    <w:rsid w:val="6DEBF852"/>
    <w:rsid w:val="6E70F802"/>
    <w:rsid w:val="6E9CA205"/>
    <w:rsid w:val="6EC887AB"/>
    <w:rsid w:val="6EFD17AF"/>
    <w:rsid w:val="6F478870"/>
    <w:rsid w:val="70406C51"/>
    <w:rsid w:val="7051AF75"/>
    <w:rsid w:val="7128EEAE"/>
    <w:rsid w:val="7147202F"/>
    <w:rsid w:val="718C1D47"/>
    <w:rsid w:val="718DF7D4"/>
    <w:rsid w:val="71B226F9"/>
    <w:rsid w:val="71B6DF6F"/>
    <w:rsid w:val="721B80CF"/>
    <w:rsid w:val="72403081"/>
    <w:rsid w:val="72C04B6E"/>
    <w:rsid w:val="72C4CF7C"/>
    <w:rsid w:val="72ECDD71"/>
    <w:rsid w:val="735B0151"/>
    <w:rsid w:val="737FF6BC"/>
    <w:rsid w:val="73930256"/>
    <w:rsid w:val="740C2C4B"/>
    <w:rsid w:val="74480825"/>
    <w:rsid w:val="74A531C0"/>
    <w:rsid w:val="74B780B8"/>
    <w:rsid w:val="74EB81FB"/>
    <w:rsid w:val="74EB94AA"/>
    <w:rsid w:val="750C776B"/>
    <w:rsid w:val="753D2FDE"/>
    <w:rsid w:val="7562B3D8"/>
    <w:rsid w:val="757C5900"/>
    <w:rsid w:val="76329DDE"/>
    <w:rsid w:val="7646B011"/>
    <w:rsid w:val="76581707"/>
    <w:rsid w:val="76616114"/>
    <w:rsid w:val="7695A2E3"/>
    <w:rsid w:val="76F68AA3"/>
    <w:rsid w:val="77617548"/>
    <w:rsid w:val="77824B3B"/>
    <w:rsid w:val="779BE0C9"/>
    <w:rsid w:val="779EC0CE"/>
    <w:rsid w:val="77A04421"/>
    <w:rsid w:val="77B70372"/>
    <w:rsid w:val="77F41111"/>
    <w:rsid w:val="78201E80"/>
    <w:rsid w:val="784CE189"/>
    <w:rsid w:val="78619219"/>
    <w:rsid w:val="788FCF87"/>
    <w:rsid w:val="78ED3233"/>
    <w:rsid w:val="78F1DB9F"/>
    <w:rsid w:val="7908F580"/>
    <w:rsid w:val="79754170"/>
    <w:rsid w:val="7991E41D"/>
    <w:rsid w:val="7AAD86D9"/>
    <w:rsid w:val="7AB206FB"/>
    <w:rsid w:val="7AD2D859"/>
    <w:rsid w:val="7AE72A69"/>
    <w:rsid w:val="7B5ECD9B"/>
    <w:rsid w:val="7BDD8C67"/>
    <w:rsid w:val="7BE116AF"/>
    <w:rsid w:val="7C47A737"/>
    <w:rsid w:val="7CA42C4E"/>
    <w:rsid w:val="7CE9D97C"/>
    <w:rsid w:val="7CF8E7A7"/>
    <w:rsid w:val="7D43829E"/>
    <w:rsid w:val="7DA5E70C"/>
    <w:rsid w:val="7DD8628E"/>
    <w:rsid w:val="7E2EFBB1"/>
    <w:rsid w:val="7E443F81"/>
    <w:rsid w:val="7E4A2E68"/>
    <w:rsid w:val="7E87A08A"/>
    <w:rsid w:val="7E8A63B4"/>
    <w:rsid w:val="7E91B7A2"/>
    <w:rsid w:val="7E9DA57F"/>
    <w:rsid w:val="7F1D93F7"/>
    <w:rsid w:val="7F339E07"/>
    <w:rsid w:val="7F438809"/>
    <w:rsid w:val="7F608910"/>
    <w:rsid w:val="7F6E14B9"/>
    <w:rsid w:val="7FAB657A"/>
    <w:rsid w:val="7FE4E430"/>
    <w:rsid w:val="7FFFE9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256393"/>
  <w15:docId w15:val="{740E21B5-B863-4968-BA55-E7A3D6132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3C2A"/>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105D26"/>
    <w:pPr>
      <w:keepNext/>
      <w:spacing w:before="60" w:after="240" w:line="276" w:lineRule="auto"/>
      <w:outlineLvl w:val="1"/>
    </w:pPr>
    <w:rPr>
      <w:rFonts w:ascii="Arial" w:eastAsia="MS Mincho" w:hAnsi="Arial"/>
      <w:b/>
      <w:color w:val="005EB8"/>
      <w:spacing w:val="-6"/>
      <w:kern w:val="28"/>
      <w:sz w:val="28"/>
      <w:szCs w:val="28"/>
      <w14:ligatures w14:val="standardContextual"/>
    </w:rPr>
  </w:style>
  <w:style w:type="paragraph" w:styleId="Heading3">
    <w:name w:val="heading 3"/>
    <w:basedOn w:val="Heading2"/>
    <w:next w:val="Normal"/>
    <w:link w:val="Heading3Char"/>
    <w:autoRedefine/>
    <w:qFormat/>
    <w:rsid w:val="00B3622E"/>
    <w:pPr>
      <w:spacing w:before="0" w:after="0" w:line="240" w:lineRule="auto"/>
      <w:outlineLvl w:val="2"/>
    </w:pPr>
    <w:rPr>
      <w:rFonts w:asciiTheme="minorHAnsi" w:hAnsiTheme="minorHAnsi" w:cstheme="minorBidi"/>
      <w:b w:val="0"/>
      <w:color w:val="0F0F0F" w:themeColor="text1"/>
      <w:sz w:val="24"/>
      <w:szCs w:val="24"/>
      <w:u w:val="single"/>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05D26"/>
    <w:rPr>
      <w:rFonts w:ascii="Arial" w:eastAsia="MS Mincho" w:hAnsi="Arial"/>
      <w:b/>
      <w:color w:val="005EB8"/>
      <w:spacing w:val="-6"/>
      <w:kern w:val="28"/>
      <w:sz w:val="28"/>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B3622E"/>
    <w:rPr>
      <w:rFonts w:asciiTheme="minorHAnsi" w:eastAsia="MS Mincho" w:hAnsiTheme="minorHAnsi" w:cstheme="minorBidi"/>
      <w:color w:val="0F0F0F" w:themeColor="text1"/>
      <w:spacing w:val="-6"/>
      <w:kern w:val="28"/>
      <w:sz w:val="24"/>
      <w:szCs w:val="24"/>
      <w:u w:val="single"/>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86039"/>
    <w:pPr>
      <w:pBdr>
        <w:top w:val="single" w:sz="4" w:space="4" w:color="D6DBE0" w:themeColor="accent6" w:themeTint="33"/>
        <w:bottom w:val="single" w:sz="4" w:space="4" w:color="D6DBE0" w:themeColor="accent6" w:themeTint="33"/>
      </w:pBdr>
      <w:tabs>
        <w:tab w:val="right" w:pos="9854"/>
      </w:tabs>
      <w:spacing w:line="360" w:lineRule="auto"/>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59281A"/>
    <w:rPr>
      <w:b/>
      <w:color w:val="424D58" w:themeColor="accent6"/>
      <w:sz w:val="48"/>
      <w:szCs w:val="36"/>
    </w:rPr>
  </w:style>
  <w:style w:type="character" w:customStyle="1" w:styleId="FrontpagesubheadChar">
    <w:name w:val="Frontpage_subhead Char"/>
    <w:basedOn w:val="DefaultParagraphFont"/>
    <w:link w:val="Frontpagesubhead"/>
    <w:rsid w:val="0059281A"/>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val="0"/>
      <w:bCs w:val="0"/>
      <w:noProof/>
      <w:color w:val="005EB8" w:themeColor="accent1"/>
      <w:spacing w:val="-8"/>
      <w:w w:val="200"/>
      <w:kern w:val="28"/>
      <w:sz w:val="16"/>
      <w:szCs w:val="16"/>
      <w:u w:val="single"/>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color w:val="003350"/>
      <w:spacing w:val="-8"/>
      <w:kern w:val="28"/>
      <w:sz w:val="28"/>
      <w:szCs w:val="28"/>
      <w14:ligatures w14:val="standardContextual"/>
    </w:rPr>
  </w:style>
  <w:style w:type="table" w:styleId="TableGrid">
    <w:name w:val="Table Grid"/>
    <w:aliases w:val="Header Table Grid"/>
    <w:basedOn w:val="TableNormal"/>
    <w:uiPriority w:val="39"/>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10D"/>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0777E3"/>
    <w:rPr>
      <w:sz w:val="16"/>
      <w:szCs w:val="16"/>
    </w:rPr>
  </w:style>
  <w:style w:type="paragraph" w:styleId="CommentText">
    <w:name w:val="annotation text"/>
    <w:basedOn w:val="Normal"/>
    <w:link w:val="CommentTextChar"/>
    <w:uiPriority w:val="99"/>
    <w:unhideWhenUsed/>
    <w:rsid w:val="000777E3"/>
    <w:rPr>
      <w:sz w:val="20"/>
      <w:szCs w:val="20"/>
    </w:rPr>
  </w:style>
  <w:style w:type="character" w:customStyle="1" w:styleId="CommentTextChar">
    <w:name w:val="Comment Text Char"/>
    <w:basedOn w:val="DefaultParagraphFont"/>
    <w:link w:val="CommentText"/>
    <w:uiPriority w:val="99"/>
    <w:rsid w:val="000777E3"/>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0777E3"/>
    <w:rPr>
      <w:b/>
      <w:bCs/>
    </w:rPr>
  </w:style>
  <w:style w:type="character" w:customStyle="1" w:styleId="CommentSubjectChar">
    <w:name w:val="Comment Subject Char"/>
    <w:basedOn w:val="CommentTextChar"/>
    <w:link w:val="CommentSubject"/>
    <w:uiPriority w:val="99"/>
    <w:semiHidden/>
    <w:rsid w:val="000777E3"/>
    <w:rPr>
      <w:rFonts w:ascii="Arial" w:hAnsi="Arial"/>
      <w:b/>
      <w:bCs/>
      <w:color w:val="0F0F0F" w:themeColor="text1"/>
    </w:rPr>
  </w:style>
  <w:style w:type="character" w:customStyle="1" w:styleId="normaltextrun">
    <w:name w:val="normaltextrun"/>
    <w:basedOn w:val="DefaultParagraphFont"/>
    <w:rsid w:val="003C1AB1"/>
  </w:style>
  <w:style w:type="paragraph" w:customStyle="1" w:styleId="Body">
    <w:name w:val="Body"/>
    <w:rsid w:val="00F5003F"/>
    <w:pPr>
      <w:pBdr>
        <w:top w:val="nil"/>
        <w:left w:val="nil"/>
        <w:bottom w:val="nil"/>
        <w:right w:val="nil"/>
        <w:between w:val="nil"/>
        <w:bar w:val="nil"/>
      </w:pBdr>
      <w:spacing w:after="160"/>
    </w:pPr>
    <w:rPr>
      <w:rFonts w:ascii="Arial" w:eastAsia="Arial" w:hAnsi="Arial" w:cs="Arial"/>
      <w:color w:val="000000"/>
      <w:sz w:val="22"/>
      <w:szCs w:val="22"/>
      <w:u w:color="000000"/>
      <w:bdr w:val="nil"/>
    </w:rPr>
  </w:style>
  <w:style w:type="character" w:styleId="UnresolvedMention">
    <w:name w:val="Unresolved Mention"/>
    <w:basedOn w:val="DefaultParagraphFont"/>
    <w:uiPriority w:val="99"/>
    <w:semiHidden/>
    <w:unhideWhenUsed/>
    <w:rsid w:val="00545740"/>
    <w:rPr>
      <w:color w:val="605E5C"/>
      <w:shd w:val="clear" w:color="auto" w:fill="E1DFDD"/>
    </w:rPr>
  </w:style>
  <w:style w:type="paragraph" w:styleId="NormalWeb">
    <w:name w:val="Normal (Web)"/>
    <w:basedOn w:val="Normal"/>
    <w:uiPriority w:val="99"/>
    <w:unhideWhenUsed/>
    <w:rsid w:val="00B93118"/>
    <w:rPr>
      <w:rFonts w:ascii="Times New Roman" w:hAnsi="Times New Roman"/>
    </w:rPr>
  </w:style>
  <w:style w:type="character" w:styleId="FollowedHyperlink">
    <w:name w:val="FollowedHyperlink"/>
    <w:basedOn w:val="DefaultParagraphFont"/>
    <w:uiPriority w:val="99"/>
    <w:semiHidden/>
    <w:unhideWhenUsed/>
    <w:rsid w:val="00825BB0"/>
    <w:rPr>
      <w:color w:val="7C2855" w:themeColor="followedHyperlink"/>
      <w:u w:val="single"/>
    </w:rPr>
  </w:style>
  <w:style w:type="paragraph" w:styleId="Caption">
    <w:name w:val="caption"/>
    <w:basedOn w:val="Normal"/>
    <w:next w:val="Normal"/>
    <w:uiPriority w:val="35"/>
    <w:unhideWhenUsed/>
    <w:qFormat/>
    <w:rsid w:val="00D37BDA"/>
    <w:pPr>
      <w:spacing w:after="200"/>
      <w:textboxTightWrap w:val="none"/>
    </w:pPr>
    <w:rPr>
      <w:rFonts w:eastAsia="Arial" w:cs="Arial"/>
      <w:i/>
      <w:iCs/>
      <w:color w:val="033F85" w:themeColor="text2"/>
      <w:sz w:val="18"/>
      <w:szCs w:val="18"/>
      <w:lang w:eastAsia="en-GB"/>
    </w:rPr>
  </w:style>
  <w:style w:type="paragraph" w:styleId="Revision">
    <w:name w:val="Revision"/>
    <w:hidden/>
    <w:uiPriority w:val="99"/>
    <w:semiHidden/>
    <w:rsid w:val="00A56650"/>
    <w:rPr>
      <w:rFonts w:ascii="Arial" w:hAnsi="Arial"/>
      <w:color w:val="0F0F0F" w:themeColor="text1"/>
      <w:sz w:val="24"/>
      <w:szCs w:val="24"/>
    </w:rPr>
  </w:style>
  <w:style w:type="character" w:customStyle="1" w:styleId="ui-provider">
    <w:name w:val="ui-provider"/>
    <w:basedOn w:val="DefaultParagraphFont"/>
    <w:rsid w:val="00AD580B"/>
  </w:style>
  <w:style w:type="paragraph" w:styleId="TableofFigures">
    <w:name w:val="table of figures"/>
    <w:basedOn w:val="Normal"/>
    <w:next w:val="Normal"/>
    <w:uiPriority w:val="99"/>
    <w:unhideWhenUsed/>
    <w:rsid w:val="003D40AB"/>
    <w:pPr>
      <w:spacing w:after="0"/>
    </w:pPr>
  </w:style>
  <w:style w:type="paragraph" w:customStyle="1" w:styleId="paragraph">
    <w:name w:val="paragraph"/>
    <w:basedOn w:val="Normal"/>
    <w:rsid w:val="00F0076F"/>
    <w:pPr>
      <w:spacing w:before="100" w:beforeAutospacing="1" w:after="100" w:afterAutospacing="1"/>
      <w:textboxTightWrap w:val="none"/>
    </w:pPr>
    <w:rPr>
      <w:rFonts w:ascii="Times New Roman" w:hAnsi="Times New Roman"/>
      <w:color w:val="auto"/>
      <w:lang w:eastAsia="en-GB"/>
    </w:rPr>
  </w:style>
  <w:style w:type="character" w:customStyle="1" w:styleId="eop">
    <w:name w:val="eop"/>
    <w:basedOn w:val="DefaultParagraphFont"/>
    <w:rsid w:val="00F0076F"/>
  </w:style>
  <w:style w:type="character" w:customStyle="1" w:styleId="scxw51543379">
    <w:name w:val="scxw51543379"/>
    <w:basedOn w:val="DefaultParagraphFont"/>
    <w:rsid w:val="00F0076F"/>
  </w:style>
  <w:style w:type="paragraph" w:styleId="BodyText">
    <w:name w:val="Body Text"/>
    <w:basedOn w:val="Normal"/>
    <w:link w:val="BodyTextChar"/>
    <w:unhideWhenUsed/>
    <w:rsid w:val="001B1655"/>
    <w:pPr>
      <w:spacing w:after="120" w:line="276" w:lineRule="auto"/>
      <w:jc w:val="both"/>
      <w:textboxTightWrap w:val="none"/>
    </w:pPr>
    <w:rPr>
      <w:rFonts w:ascii="Source Sans Pro" w:eastAsiaTheme="minorHAnsi" w:hAnsi="Source Sans Pro"/>
      <w:color w:val="141930"/>
      <w:sz w:val="22"/>
      <w:szCs w:val="20"/>
      <w:lang w:eastAsia="en-GB"/>
    </w:rPr>
  </w:style>
  <w:style w:type="character" w:customStyle="1" w:styleId="BodyTextChar">
    <w:name w:val="Body Text Char"/>
    <w:basedOn w:val="DefaultParagraphFont"/>
    <w:link w:val="BodyText"/>
    <w:rsid w:val="001B1655"/>
    <w:rPr>
      <w:rFonts w:ascii="Source Sans Pro" w:eastAsiaTheme="minorHAnsi" w:hAnsi="Source Sans Pro"/>
      <w:color w:val="141930"/>
      <w:sz w:val="22"/>
      <w:lang w:eastAsia="en-GB"/>
    </w:rPr>
  </w:style>
  <w:style w:type="paragraph" w:styleId="FootnoteText">
    <w:name w:val="footnote text"/>
    <w:basedOn w:val="Normal"/>
    <w:link w:val="FootnoteTextChar"/>
    <w:uiPriority w:val="99"/>
    <w:semiHidden/>
    <w:unhideWhenUsed/>
    <w:rsid w:val="00CE55B3"/>
    <w:pPr>
      <w:spacing w:after="0"/>
    </w:pPr>
    <w:rPr>
      <w:sz w:val="20"/>
      <w:szCs w:val="20"/>
    </w:rPr>
  </w:style>
  <w:style w:type="character" w:customStyle="1" w:styleId="FootnoteTextChar">
    <w:name w:val="Footnote Text Char"/>
    <w:basedOn w:val="DefaultParagraphFont"/>
    <w:link w:val="FootnoteText"/>
    <w:uiPriority w:val="99"/>
    <w:semiHidden/>
    <w:rsid w:val="00CE55B3"/>
    <w:rPr>
      <w:rFonts w:ascii="Arial" w:hAnsi="Arial"/>
      <w:color w:val="0F0F0F" w:themeColor="text1"/>
    </w:rPr>
  </w:style>
  <w:style w:type="character" w:styleId="Emphasis">
    <w:name w:val="Emphasis"/>
    <w:basedOn w:val="DefaultParagraphFont"/>
    <w:uiPriority w:val="20"/>
    <w:qFormat/>
    <w:rsid w:val="00E852C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751">
      <w:bodyDiv w:val="1"/>
      <w:marLeft w:val="0"/>
      <w:marRight w:val="0"/>
      <w:marTop w:val="0"/>
      <w:marBottom w:val="0"/>
      <w:divBdr>
        <w:top w:val="none" w:sz="0" w:space="0" w:color="auto"/>
        <w:left w:val="none" w:sz="0" w:space="0" w:color="auto"/>
        <w:bottom w:val="none" w:sz="0" w:space="0" w:color="auto"/>
        <w:right w:val="none" w:sz="0" w:space="0" w:color="auto"/>
      </w:divBdr>
      <w:divsChild>
        <w:div w:id="245462638">
          <w:marLeft w:val="0"/>
          <w:marRight w:val="0"/>
          <w:marTop w:val="0"/>
          <w:marBottom w:val="0"/>
          <w:divBdr>
            <w:top w:val="none" w:sz="0" w:space="0" w:color="auto"/>
            <w:left w:val="none" w:sz="0" w:space="0" w:color="auto"/>
            <w:bottom w:val="none" w:sz="0" w:space="0" w:color="auto"/>
            <w:right w:val="none" w:sz="0" w:space="0" w:color="auto"/>
          </w:divBdr>
        </w:div>
      </w:divsChild>
    </w:div>
    <w:div w:id="3556162">
      <w:bodyDiv w:val="1"/>
      <w:marLeft w:val="0"/>
      <w:marRight w:val="0"/>
      <w:marTop w:val="0"/>
      <w:marBottom w:val="0"/>
      <w:divBdr>
        <w:top w:val="none" w:sz="0" w:space="0" w:color="auto"/>
        <w:left w:val="none" w:sz="0" w:space="0" w:color="auto"/>
        <w:bottom w:val="none" w:sz="0" w:space="0" w:color="auto"/>
        <w:right w:val="none" w:sz="0" w:space="0" w:color="auto"/>
      </w:divBdr>
    </w:div>
    <w:div w:id="31157204">
      <w:bodyDiv w:val="1"/>
      <w:marLeft w:val="0"/>
      <w:marRight w:val="0"/>
      <w:marTop w:val="0"/>
      <w:marBottom w:val="0"/>
      <w:divBdr>
        <w:top w:val="none" w:sz="0" w:space="0" w:color="auto"/>
        <w:left w:val="none" w:sz="0" w:space="0" w:color="auto"/>
        <w:bottom w:val="none" w:sz="0" w:space="0" w:color="auto"/>
        <w:right w:val="none" w:sz="0" w:space="0" w:color="auto"/>
      </w:divBdr>
    </w:div>
    <w:div w:id="50080445">
      <w:bodyDiv w:val="1"/>
      <w:marLeft w:val="0"/>
      <w:marRight w:val="0"/>
      <w:marTop w:val="0"/>
      <w:marBottom w:val="0"/>
      <w:divBdr>
        <w:top w:val="none" w:sz="0" w:space="0" w:color="auto"/>
        <w:left w:val="none" w:sz="0" w:space="0" w:color="auto"/>
        <w:bottom w:val="none" w:sz="0" w:space="0" w:color="auto"/>
        <w:right w:val="none" w:sz="0" w:space="0" w:color="auto"/>
      </w:divBdr>
    </w:div>
    <w:div w:id="63913991">
      <w:bodyDiv w:val="1"/>
      <w:marLeft w:val="0"/>
      <w:marRight w:val="0"/>
      <w:marTop w:val="0"/>
      <w:marBottom w:val="0"/>
      <w:divBdr>
        <w:top w:val="none" w:sz="0" w:space="0" w:color="auto"/>
        <w:left w:val="none" w:sz="0" w:space="0" w:color="auto"/>
        <w:bottom w:val="none" w:sz="0" w:space="0" w:color="auto"/>
        <w:right w:val="none" w:sz="0" w:space="0" w:color="auto"/>
      </w:divBdr>
      <w:divsChild>
        <w:div w:id="1008799515">
          <w:marLeft w:val="0"/>
          <w:marRight w:val="0"/>
          <w:marTop w:val="0"/>
          <w:marBottom w:val="0"/>
          <w:divBdr>
            <w:top w:val="none" w:sz="0" w:space="0" w:color="auto"/>
            <w:left w:val="none" w:sz="0" w:space="0" w:color="auto"/>
            <w:bottom w:val="none" w:sz="0" w:space="0" w:color="auto"/>
            <w:right w:val="none" w:sz="0" w:space="0" w:color="auto"/>
          </w:divBdr>
        </w:div>
      </w:divsChild>
    </w:div>
    <w:div w:id="73823532">
      <w:bodyDiv w:val="1"/>
      <w:marLeft w:val="0"/>
      <w:marRight w:val="0"/>
      <w:marTop w:val="0"/>
      <w:marBottom w:val="0"/>
      <w:divBdr>
        <w:top w:val="none" w:sz="0" w:space="0" w:color="auto"/>
        <w:left w:val="none" w:sz="0" w:space="0" w:color="auto"/>
        <w:bottom w:val="none" w:sz="0" w:space="0" w:color="auto"/>
        <w:right w:val="none" w:sz="0" w:space="0" w:color="auto"/>
      </w:divBdr>
    </w:div>
    <w:div w:id="77791719">
      <w:bodyDiv w:val="1"/>
      <w:marLeft w:val="0"/>
      <w:marRight w:val="0"/>
      <w:marTop w:val="0"/>
      <w:marBottom w:val="0"/>
      <w:divBdr>
        <w:top w:val="none" w:sz="0" w:space="0" w:color="auto"/>
        <w:left w:val="none" w:sz="0" w:space="0" w:color="auto"/>
        <w:bottom w:val="none" w:sz="0" w:space="0" w:color="auto"/>
        <w:right w:val="none" w:sz="0" w:space="0" w:color="auto"/>
      </w:divBdr>
    </w:div>
    <w:div w:id="185412743">
      <w:bodyDiv w:val="1"/>
      <w:marLeft w:val="0"/>
      <w:marRight w:val="0"/>
      <w:marTop w:val="0"/>
      <w:marBottom w:val="0"/>
      <w:divBdr>
        <w:top w:val="none" w:sz="0" w:space="0" w:color="auto"/>
        <w:left w:val="none" w:sz="0" w:space="0" w:color="auto"/>
        <w:bottom w:val="none" w:sz="0" w:space="0" w:color="auto"/>
        <w:right w:val="none" w:sz="0" w:space="0" w:color="auto"/>
      </w:divBdr>
    </w:div>
    <w:div w:id="222446587">
      <w:bodyDiv w:val="1"/>
      <w:marLeft w:val="0"/>
      <w:marRight w:val="0"/>
      <w:marTop w:val="0"/>
      <w:marBottom w:val="0"/>
      <w:divBdr>
        <w:top w:val="none" w:sz="0" w:space="0" w:color="auto"/>
        <w:left w:val="none" w:sz="0" w:space="0" w:color="auto"/>
        <w:bottom w:val="none" w:sz="0" w:space="0" w:color="auto"/>
        <w:right w:val="none" w:sz="0" w:space="0" w:color="auto"/>
      </w:divBdr>
    </w:div>
    <w:div w:id="250968261">
      <w:bodyDiv w:val="1"/>
      <w:marLeft w:val="0"/>
      <w:marRight w:val="0"/>
      <w:marTop w:val="0"/>
      <w:marBottom w:val="0"/>
      <w:divBdr>
        <w:top w:val="none" w:sz="0" w:space="0" w:color="auto"/>
        <w:left w:val="none" w:sz="0" w:space="0" w:color="auto"/>
        <w:bottom w:val="none" w:sz="0" w:space="0" w:color="auto"/>
        <w:right w:val="none" w:sz="0" w:space="0" w:color="auto"/>
      </w:divBdr>
    </w:div>
    <w:div w:id="252789219">
      <w:bodyDiv w:val="1"/>
      <w:marLeft w:val="0"/>
      <w:marRight w:val="0"/>
      <w:marTop w:val="0"/>
      <w:marBottom w:val="0"/>
      <w:divBdr>
        <w:top w:val="none" w:sz="0" w:space="0" w:color="auto"/>
        <w:left w:val="none" w:sz="0" w:space="0" w:color="auto"/>
        <w:bottom w:val="none" w:sz="0" w:space="0" w:color="auto"/>
        <w:right w:val="none" w:sz="0" w:space="0" w:color="auto"/>
      </w:divBdr>
    </w:div>
    <w:div w:id="279920525">
      <w:bodyDiv w:val="1"/>
      <w:marLeft w:val="0"/>
      <w:marRight w:val="0"/>
      <w:marTop w:val="0"/>
      <w:marBottom w:val="0"/>
      <w:divBdr>
        <w:top w:val="none" w:sz="0" w:space="0" w:color="auto"/>
        <w:left w:val="none" w:sz="0" w:space="0" w:color="auto"/>
        <w:bottom w:val="none" w:sz="0" w:space="0" w:color="auto"/>
        <w:right w:val="none" w:sz="0" w:space="0" w:color="auto"/>
      </w:divBdr>
      <w:divsChild>
        <w:div w:id="256983986">
          <w:marLeft w:val="0"/>
          <w:marRight w:val="0"/>
          <w:marTop w:val="0"/>
          <w:marBottom w:val="0"/>
          <w:divBdr>
            <w:top w:val="none" w:sz="0" w:space="0" w:color="auto"/>
            <w:left w:val="none" w:sz="0" w:space="0" w:color="auto"/>
            <w:bottom w:val="none" w:sz="0" w:space="0" w:color="auto"/>
            <w:right w:val="none" w:sz="0" w:space="0" w:color="auto"/>
          </w:divBdr>
        </w:div>
        <w:div w:id="1553614666">
          <w:marLeft w:val="0"/>
          <w:marRight w:val="0"/>
          <w:marTop w:val="0"/>
          <w:marBottom w:val="0"/>
          <w:divBdr>
            <w:top w:val="none" w:sz="0" w:space="0" w:color="auto"/>
            <w:left w:val="none" w:sz="0" w:space="0" w:color="auto"/>
            <w:bottom w:val="none" w:sz="0" w:space="0" w:color="auto"/>
            <w:right w:val="none" w:sz="0" w:space="0" w:color="auto"/>
          </w:divBdr>
        </w:div>
      </w:divsChild>
    </w:div>
    <w:div w:id="287708161">
      <w:bodyDiv w:val="1"/>
      <w:marLeft w:val="0"/>
      <w:marRight w:val="0"/>
      <w:marTop w:val="0"/>
      <w:marBottom w:val="0"/>
      <w:divBdr>
        <w:top w:val="none" w:sz="0" w:space="0" w:color="auto"/>
        <w:left w:val="none" w:sz="0" w:space="0" w:color="auto"/>
        <w:bottom w:val="none" w:sz="0" w:space="0" w:color="auto"/>
        <w:right w:val="none" w:sz="0" w:space="0" w:color="auto"/>
      </w:divBdr>
      <w:divsChild>
        <w:div w:id="1890259074">
          <w:marLeft w:val="0"/>
          <w:marRight w:val="0"/>
          <w:marTop w:val="0"/>
          <w:marBottom w:val="0"/>
          <w:divBdr>
            <w:top w:val="none" w:sz="0" w:space="0" w:color="auto"/>
            <w:left w:val="none" w:sz="0" w:space="0" w:color="auto"/>
            <w:bottom w:val="none" w:sz="0" w:space="0" w:color="auto"/>
            <w:right w:val="none" w:sz="0" w:space="0" w:color="auto"/>
          </w:divBdr>
          <w:divsChild>
            <w:div w:id="190844051">
              <w:marLeft w:val="0"/>
              <w:marRight w:val="0"/>
              <w:marTop w:val="0"/>
              <w:marBottom w:val="0"/>
              <w:divBdr>
                <w:top w:val="none" w:sz="0" w:space="0" w:color="auto"/>
                <w:left w:val="none" w:sz="0" w:space="0" w:color="auto"/>
                <w:bottom w:val="none" w:sz="0" w:space="0" w:color="auto"/>
                <w:right w:val="none" w:sz="0" w:space="0" w:color="auto"/>
              </w:divBdr>
            </w:div>
            <w:div w:id="193426963">
              <w:marLeft w:val="0"/>
              <w:marRight w:val="0"/>
              <w:marTop w:val="0"/>
              <w:marBottom w:val="0"/>
              <w:divBdr>
                <w:top w:val="none" w:sz="0" w:space="0" w:color="auto"/>
                <w:left w:val="none" w:sz="0" w:space="0" w:color="auto"/>
                <w:bottom w:val="none" w:sz="0" w:space="0" w:color="auto"/>
                <w:right w:val="none" w:sz="0" w:space="0" w:color="auto"/>
              </w:divBdr>
            </w:div>
            <w:div w:id="218177693">
              <w:marLeft w:val="0"/>
              <w:marRight w:val="0"/>
              <w:marTop w:val="0"/>
              <w:marBottom w:val="0"/>
              <w:divBdr>
                <w:top w:val="none" w:sz="0" w:space="0" w:color="auto"/>
                <w:left w:val="none" w:sz="0" w:space="0" w:color="auto"/>
                <w:bottom w:val="none" w:sz="0" w:space="0" w:color="auto"/>
                <w:right w:val="none" w:sz="0" w:space="0" w:color="auto"/>
              </w:divBdr>
            </w:div>
            <w:div w:id="602031834">
              <w:marLeft w:val="0"/>
              <w:marRight w:val="0"/>
              <w:marTop w:val="0"/>
              <w:marBottom w:val="0"/>
              <w:divBdr>
                <w:top w:val="none" w:sz="0" w:space="0" w:color="auto"/>
                <w:left w:val="none" w:sz="0" w:space="0" w:color="auto"/>
                <w:bottom w:val="none" w:sz="0" w:space="0" w:color="auto"/>
                <w:right w:val="none" w:sz="0" w:space="0" w:color="auto"/>
              </w:divBdr>
            </w:div>
            <w:div w:id="637343975">
              <w:marLeft w:val="0"/>
              <w:marRight w:val="0"/>
              <w:marTop w:val="0"/>
              <w:marBottom w:val="0"/>
              <w:divBdr>
                <w:top w:val="none" w:sz="0" w:space="0" w:color="auto"/>
                <w:left w:val="none" w:sz="0" w:space="0" w:color="auto"/>
                <w:bottom w:val="none" w:sz="0" w:space="0" w:color="auto"/>
                <w:right w:val="none" w:sz="0" w:space="0" w:color="auto"/>
              </w:divBdr>
            </w:div>
            <w:div w:id="660357135">
              <w:marLeft w:val="0"/>
              <w:marRight w:val="0"/>
              <w:marTop w:val="0"/>
              <w:marBottom w:val="0"/>
              <w:divBdr>
                <w:top w:val="none" w:sz="0" w:space="0" w:color="auto"/>
                <w:left w:val="none" w:sz="0" w:space="0" w:color="auto"/>
                <w:bottom w:val="none" w:sz="0" w:space="0" w:color="auto"/>
                <w:right w:val="none" w:sz="0" w:space="0" w:color="auto"/>
              </w:divBdr>
            </w:div>
            <w:div w:id="707026353">
              <w:marLeft w:val="0"/>
              <w:marRight w:val="0"/>
              <w:marTop w:val="0"/>
              <w:marBottom w:val="0"/>
              <w:divBdr>
                <w:top w:val="none" w:sz="0" w:space="0" w:color="auto"/>
                <w:left w:val="none" w:sz="0" w:space="0" w:color="auto"/>
                <w:bottom w:val="none" w:sz="0" w:space="0" w:color="auto"/>
                <w:right w:val="none" w:sz="0" w:space="0" w:color="auto"/>
              </w:divBdr>
            </w:div>
            <w:div w:id="819348831">
              <w:marLeft w:val="0"/>
              <w:marRight w:val="0"/>
              <w:marTop w:val="0"/>
              <w:marBottom w:val="0"/>
              <w:divBdr>
                <w:top w:val="none" w:sz="0" w:space="0" w:color="auto"/>
                <w:left w:val="none" w:sz="0" w:space="0" w:color="auto"/>
                <w:bottom w:val="none" w:sz="0" w:space="0" w:color="auto"/>
                <w:right w:val="none" w:sz="0" w:space="0" w:color="auto"/>
              </w:divBdr>
            </w:div>
            <w:div w:id="847136082">
              <w:marLeft w:val="0"/>
              <w:marRight w:val="0"/>
              <w:marTop w:val="0"/>
              <w:marBottom w:val="0"/>
              <w:divBdr>
                <w:top w:val="none" w:sz="0" w:space="0" w:color="auto"/>
                <w:left w:val="none" w:sz="0" w:space="0" w:color="auto"/>
                <w:bottom w:val="none" w:sz="0" w:space="0" w:color="auto"/>
                <w:right w:val="none" w:sz="0" w:space="0" w:color="auto"/>
              </w:divBdr>
            </w:div>
            <w:div w:id="1064062389">
              <w:marLeft w:val="0"/>
              <w:marRight w:val="0"/>
              <w:marTop w:val="0"/>
              <w:marBottom w:val="0"/>
              <w:divBdr>
                <w:top w:val="none" w:sz="0" w:space="0" w:color="auto"/>
                <w:left w:val="none" w:sz="0" w:space="0" w:color="auto"/>
                <w:bottom w:val="none" w:sz="0" w:space="0" w:color="auto"/>
                <w:right w:val="none" w:sz="0" w:space="0" w:color="auto"/>
              </w:divBdr>
            </w:div>
            <w:div w:id="1460298179">
              <w:marLeft w:val="0"/>
              <w:marRight w:val="0"/>
              <w:marTop w:val="0"/>
              <w:marBottom w:val="0"/>
              <w:divBdr>
                <w:top w:val="none" w:sz="0" w:space="0" w:color="auto"/>
                <w:left w:val="none" w:sz="0" w:space="0" w:color="auto"/>
                <w:bottom w:val="none" w:sz="0" w:space="0" w:color="auto"/>
                <w:right w:val="none" w:sz="0" w:space="0" w:color="auto"/>
              </w:divBdr>
            </w:div>
            <w:div w:id="1533225381">
              <w:marLeft w:val="0"/>
              <w:marRight w:val="0"/>
              <w:marTop w:val="0"/>
              <w:marBottom w:val="0"/>
              <w:divBdr>
                <w:top w:val="none" w:sz="0" w:space="0" w:color="auto"/>
                <w:left w:val="none" w:sz="0" w:space="0" w:color="auto"/>
                <w:bottom w:val="none" w:sz="0" w:space="0" w:color="auto"/>
                <w:right w:val="none" w:sz="0" w:space="0" w:color="auto"/>
              </w:divBdr>
            </w:div>
            <w:div w:id="1665355052">
              <w:marLeft w:val="0"/>
              <w:marRight w:val="0"/>
              <w:marTop w:val="0"/>
              <w:marBottom w:val="0"/>
              <w:divBdr>
                <w:top w:val="none" w:sz="0" w:space="0" w:color="auto"/>
                <w:left w:val="none" w:sz="0" w:space="0" w:color="auto"/>
                <w:bottom w:val="none" w:sz="0" w:space="0" w:color="auto"/>
                <w:right w:val="none" w:sz="0" w:space="0" w:color="auto"/>
              </w:divBdr>
            </w:div>
            <w:div w:id="1783765397">
              <w:marLeft w:val="0"/>
              <w:marRight w:val="0"/>
              <w:marTop w:val="0"/>
              <w:marBottom w:val="0"/>
              <w:divBdr>
                <w:top w:val="none" w:sz="0" w:space="0" w:color="auto"/>
                <w:left w:val="none" w:sz="0" w:space="0" w:color="auto"/>
                <w:bottom w:val="none" w:sz="0" w:space="0" w:color="auto"/>
                <w:right w:val="none" w:sz="0" w:space="0" w:color="auto"/>
              </w:divBdr>
            </w:div>
            <w:div w:id="1826775450">
              <w:marLeft w:val="0"/>
              <w:marRight w:val="0"/>
              <w:marTop w:val="0"/>
              <w:marBottom w:val="0"/>
              <w:divBdr>
                <w:top w:val="none" w:sz="0" w:space="0" w:color="auto"/>
                <w:left w:val="none" w:sz="0" w:space="0" w:color="auto"/>
                <w:bottom w:val="none" w:sz="0" w:space="0" w:color="auto"/>
                <w:right w:val="none" w:sz="0" w:space="0" w:color="auto"/>
              </w:divBdr>
            </w:div>
            <w:div w:id="1860654687">
              <w:marLeft w:val="0"/>
              <w:marRight w:val="0"/>
              <w:marTop w:val="0"/>
              <w:marBottom w:val="0"/>
              <w:divBdr>
                <w:top w:val="none" w:sz="0" w:space="0" w:color="auto"/>
                <w:left w:val="none" w:sz="0" w:space="0" w:color="auto"/>
                <w:bottom w:val="none" w:sz="0" w:space="0" w:color="auto"/>
                <w:right w:val="none" w:sz="0" w:space="0" w:color="auto"/>
              </w:divBdr>
            </w:div>
            <w:div w:id="2013023846">
              <w:marLeft w:val="0"/>
              <w:marRight w:val="0"/>
              <w:marTop w:val="0"/>
              <w:marBottom w:val="0"/>
              <w:divBdr>
                <w:top w:val="none" w:sz="0" w:space="0" w:color="auto"/>
                <w:left w:val="none" w:sz="0" w:space="0" w:color="auto"/>
                <w:bottom w:val="none" w:sz="0" w:space="0" w:color="auto"/>
                <w:right w:val="none" w:sz="0" w:space="0" w:color="auto"/>
              </w:divBdr>
            </w:div>
          </w:divsChild>
        </w:div>
        <w:div w:id="1966234951">
          <w:marLeft w:val="0"/>
          <w:marRight w:val="0"/>
          <w:marTop w:val="0"/>
          <w:marBottom w:val="0"/>
          <w:divBdr>
            <w:top w:val="none" w:sz="0" w:space="0" w:color="auto"/>
            <w:left w:val="none" w:sz="0" w:space="0" w:color="auto"/>
            <w:bottom w:val="none" w:sz="0" w:space="0" w:color="auto"/>
            <w:right w:val="none" w:sz="0" w:space="0" w:color="auto"/>
          </w:divBdr>
          <w:divsChild>
            <w:div w:id="969553689">
              <w:marLeft w:val="0"/>
              <w:marRight w:val="0"/>
              <w:marTop w:val="0"/>
              <w:marBottom w:val="0"/>
              <w:divBdr>
                <w:top w:val="none" w:sz="0" w:space="0" w:color="auto"/>
                <w:left w:val="none" w:sz="0" w:space="0" w:color="auto"/>
                <w:bottom w:val="none" w:sz="0" w:space="0" w:color="auto"/>
                <w:right w:val="none" w:sz="0" w:space="0" w:color="auto"/>
              </w:divBdr>
            </w:div>
            <w:div w:id="156194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67664">
      <w:bodyDiv w:val="1"/>
      <w:marLeft w:val="0"/>
      <w:marRight w:val="0"/>
      <w:marTop w:val="0"/>
      <w:marBottom w:val="0"/>
      <w:divBdr>
        <w:top w:val="none" w:sz="0" w:space="0" w:color="auto"/>
        <w:left w:val="none" w:sz="0" w:space="0" w:color="auto"/>
        <w:bottom w:val="none" w:sz="0" w:space="0" w:color="auto"/>
        <w:right w:val="none" w:sz="0" w:space="0" w:color="auto"/>
      </w:divBdr>
    </w:div>
    <w:div w:id="381566681">
      <w:bodyDiv w:val="1"/>
      <w:marLeft w:val="0"/>
      <w:marRight w:val="0"/>
      <w:marTop w:val="0"/>
      <w:marBottom w:val="0"/>
      <w:divBdr>
        <w:top w:val="none" w:sz="0" w:space="0" w:color="auto"/>
        <w:left w:val="none" w:sz="0" w:space="0" w:color="auto"/>
        <w:bottom w:val="none" w:sz="0" w:space="0" w:color="auto"/>
        <w:right w:val="none" w:sz="0" w:space="0" w:color="auto"/>
      </w:divBdr>
      <w:divsChild>
        <w:div w:id="360329180">
          <w:marLeft w:val="0"/>
          <w:marRight w:val="0"/>
          <w:marTop w:val="0"/>
          <w:marBottom w:val="0"/>
          <w:divBdr>
            <w:top w:val="none" w:sz="0" w:space="0" w:color="auto"/>
            <w:left w:val="none" w:sz="0" w:space="0" w:color="auto"/>
            <w:bottom w:val="none" w:sz="0" w:space="0" w:color="auto"/>
            <w:right w:val="none" w:sz="0" w:space="0" w:color="auto"/>
          </w:divBdr>
        </w:div>
        <w:div w:id="478307153">
          <w:marLeft w:val="0"/>
          <w:marRight w:val="0"/>
          <w:marTop w:val="0"/>
          <w:marBottom w:val="0"/>
          <w:divBdr>
            <w:top w:val="none" w:sz="0" w:space="0" w:color="auto"/>
            <w:left w:val="none" w:sz="0" w:space="0" w:color="auto"/>
            <w:bottom w:val="none" w:sz="0" w:space="0" w:color="auto"/>
            <w:right w:val="none" w:sz="0" w:space="0" w:color="auto"/>
          </w:divBdr>
        </w:div>
        <w:div w:id="763108122">
          <w:marLeft w:val="0"/>
          <w:marRight w:val="0"/>
          <w:marTop w:val="0"/>
          <w:marBottom w:val="0"/>
          <w:divBdr>
            <w:top w:val="none" w:sz="0" w:space="0" w:color="auto"/>
            <w:left w:val="none" w:sz="0" w:space="0" w:color="auto"/>
            <w:bottom w:val="none" w:sz="0" w:space="0" w:color="auto"/>
            <w:right w:val="none" w:sz="0" w:space="0" w:color="auto"/>
          </w:divBdr>
        </w:div>
        <w:div w:id="840587755">
          <w:marLeft w:val="0"/>
          <w:marRight w:val="0"/>
          <w:marTop w:val="0"/>
          <w:marBottom w:val="0"/>
          <w:divBdr>
            <w:top w:val="none" w:sz="0" w:space="0" w:color="auto"/>
            <w:left w:val="none" w:sz="0" w:space="0" w:color="auto"/>
            <w:bottom w:val="none" w:sz="0" w:space="0" w:color="auto"/>
            <w:right w:val="none" w:sz="0" w:space="0" w:color="auto"/>
          </w:divBdr>
        </w:div>
        <w:div w:id="1008022692">
          <w:marLeft w:val="0"/>
          <w:marRight w:val="0"/>
          <w:marTop w:val="0"/>
          <w:marBottom w:val="0"/>
          <w:divBdr>
            <w:top w:val="none" w:sz="0" w:space="0" w:color="auto"/>
            <w:left w:val="none" w:sz="0" w:space="0" w:color="auto"/>
            <w:bottom w:val="none" w:sz="0" w:space="0" w:color="auto"/>
            <w:right w:val="none" w:sz="0" w:space="0" w:color="auto"/>
          </w:divBdr>
        </w:div>
        <w:div w:id="1228685189">
          <w:marLeft w:val="0"/>
          <w:marRight w:val="0"/>
          <w:marTop w:val="0"/>
          <w:marBottom w:val="0"/>
          <w:divBdr>
            <w:top w:val="none" w:sz="0" w:space="0" w:color="auto"/>
            <w:left w:val="none" w:sz="0" w:space="0" w:color="auto"/>
            <w:bottom w:val="none" w:sz="0" w:space="0" w:color="auto"/>
            <w:right w:val="none" w:sz="0" w:space="0" w:color="auto"/>
          </w:divBdr>
        </w:div>
        <w:div w:id="1367289149">
          <w:marLeft w:val="0"/>
          <w:marRight w:val="0"/>
          <w:marTop w:val="0"/>
          <w:marBottom w:val="0"/>
          <w:divBdr>
            <w:top w:val="none" w:sz="0" w:space="0" w:color="auto"/>
            <w:left w:val="none" w:sz="0" w:space="0" w:color="auto"/>
            <w:bottom w:val="none" w:sz="0" w:space="0" w:color="auto"/>
            <w:right w:val="none" w:sz="0" w:space="0" w:color="auto"/>
          </w:divBdr>
        </w:div>
      </w:divsChild>
    </w:div>
    <w:div w:id="398867633">
      <w:bodyDiv w:val="1"/>
      <w:marLeft w:val="0"/>
      <w:marRight w:val="0"/>
      <w:marTop w:val="0"/>
      <w:marBottom w:val="0"/>
      <w:divBdr>
        <w:top w:val="none" w:sz="0" w:space="0" w:color="auto"/>
        <w:left w:val="none" w:sz="0" w:space="0" w:color="auto"/>
        <w:bottom w:val="none" w:sz="0" w:space="0" w:color="auto"/>
        <w:right w:val="none" w:sz="0" w:space="0" w:color="auto"/>
      </w:divBdr>
    </w:div>
    <w:div w:id="463889893">
      <w:bodyDiv w:val="1"/>
      <w:marLeft w:val="0"/>
      <w:marRight w:val="0"/>
      <w:marTop w:val="0"/>
      <w:marBottom w:val="0"/>
      <w:divBdr>
        <w:top w:val="none" w:sz="0" w:space="0" w:color="auto"/>
        <w:left w:val="none" w:sz="0" w:space="0" w:color="auto"/>
        <w:bottom w:val="none" w:sz="0" w:space="0" w:color="auto"/>
        <w:right w:val="none" w:sz="0" w:space="0" w:color="auto"/>
      </w:divBdr>
      <w:divsChild>
        <w:div w:id="392199176">
          <w:marLeft w:val="0"/>
          <w:marRight w:val="0"/>
          <w:marTop w:val="0"/>
          <w:marBottom w:val="0"/>
          <w:divBdr>
            <w:top w:val="none" w:sz="0" w:space="0" w:color="auto"/>
            <w:left w:val="none" w:sz="0" w:space="0" w:color="auto"/>
            <w:bottom w:val="none" w:sz="0" w:space="0" w:color="auto"/>
            <w:right w:val="none" w:sz="0" w:space="0" w:color="auto"/>
          </w:divBdr>
        </w:div>
        <w:div w:id="539898029">
          <w:marLeft w:val="0"/>
          <w:marRight w:val="0"/>
          <w:marTop w:val="0"/>
          <w:marBottom w:val="0"/>
          <w:divBdr>
            <w:top w:val="none" w:sz="0" w:space="0" w:color="auto"/>
            <w:left w:val="none" w:sz="0" w:space="0" w:color="auto"/>
            <w:bottom w:val="none" w:sz="0" w:space="0" w:color="auto"/>
            <w:right w:val="none" w:sz="0" w:space="0" w:color="auto"/>
          </w:divBdr>
        </w:div>
        <w:div w:id="869680147">
          <w:marLeft w:val="0"/>
          <w:marRight w:val="0"/>
          <w:marTop w:val="0"/>
          <w:marBottom w:val="0"/>
          <w:divBdr>
            <w:top w:val="none" w:sz="0" w:space="0" w:color="auto"/>
            <w:left w:val="none" w:sz="0" w:space="0" w:color="auto"/>
            <w:bottom w:val="none" w:sz="0" w:space="0" w:color="auto"/>
            <w:right w:val="none" w:sz="0" w:space="0" w:color="auto"/>
          </w:divBdr>
        </w:div>
        <w:div w:id="916287617">
          <w:marLeft w:val="0"/>
          <w:marRight w:val="0"/>
          <w:marTop w:val="0"/>
          <w:marBottom w:val="0"/>
          <w:divBdr>
            <w:top w:val="none" w:sz="0" w:space="0" w:color="auto"/>
            <w:left w:val="none" w:sz="0" w:space="0" w:color="auto"/>
            <w:bottom w:val="none" w:sz="0" w:space="0" w:color="auto"/>
            <w:right w:val="none" w:sz="0" w:space="0" w:color="auto"/>
          </w:divBdr>
        </w:div>
        <w:div w:id="1049065067">
          <w:marLeft w:val="0"/>
          <w:marRight w:val="0"/>
          <w:marTop w:val="0"/>
          <w:marBottom w:val="0"/>
          <w:divBdr>
            <w:top w:val="none" w:sz="0" w:space="0" w:color="auto"/>
            <w:left w:val="none" w:sz="0" w:space="0" w:color="auto"/>
            <w:bottom w:val="none" w:sz="0" w:space="0" w:color="auto"/>
            <w:right w:val="none" w:sz="0" w:space="0" w:color="auto"/>
          </w:divBdr>
        </w:div>
        <w:div w:id="1317101076">
          <w:marLeft w:val="0"/>
          <w:marRight w:val="0"/>
          <w:marTop w:val="0"/>
          <w:marBottom w:val="0"/>
          <w:divBdr>
            <w:top w:val="none" w:sz="0" w:space="0" w:color="auto"/>
            <w:left w:val="none" w:sz="0" w:space="0" w:color="auto"/>
            <w:bottom w:val="none" w:sz="0" w:space="0" w:color="auto"/>
            <w:right w:val="none" w:sz="0" w:space="0" w:color="auto"/>
          </w:divBdr>
        </w:div>
      </w:divsChild>
    </w:div>
    <w:div w:id="508452041">
      <w:bodyDiv w:val="1"/>
      <w:marLeft w:val="0"/>
      <w:marRight w:val="0"/>
      <w:marTop w:val="0"/>
      <w:marBottom w:val="0"/>
      <w:divBdr>
        <w:top w:val="none" w:sz="0" w:space="0" w:color="auto"/>
        <w:left w:val="none" w:sz="0" w:space="0" w:color="auto"/>
        <w:bottom w:val="none" w:sz="0" w:space="0" w:color="auto"/>
        <w:right w:val="none" w:sz="0" w:space="0" w:color="auto"/>
      </w:divBdr>
    </w:div>
    <w:div w:id="529415358">
      <w:bodyDiv w:val="1"/>
      <w:marLeft w:val="0"/>
      <w:marRight w:val="0"/>
      <w:marTop w:val="0"/>
      <w:marBottom w:val="0"/>
      <w:divBdr>
        <w:top w:val="none" w:sz="0" w:space="0" w:color="auto"/>
        <w:left w:val="none" w:sz="0" w:space="0" w:color="auto"/>
        <w:bottom w:val="none" w:sz="0" w:space="0" w:color="auto"/>
        <w:right w:val="none" w:sz="0" w:space="0" w:color="auto"/>
      </w:divBdr>
      <w:divsChild>
        <w:div w:id="259990561">
          <w:marLeft w:val="0"/>
          <w:marRight w:val="0"/>
          <w:marTop w:val="0"/>
          <w:marBottom w:val="0"/>
          <w:divBdr>
            <w:top w:val="none" w:sz="0" w:space="0" w:color="auto"/>
            <w:left w:val="none" w:sz="0" w:space="0" w:color="auto"/>
            <w:bottom w:val="none" w:sz="0" w:space="0" w:color="auto"/>
            <w:right w:val="none" w:sz="0" w:space="0" w:color="auto"/>
          </w:divBdr>
        </w:div>
        <w:div w:id="1643466124">
          <w:marLeft w:val="0"/>
          <w:marRight w:val="0"/>
          <w:marTop w:val="0"/>
          <w:marBottom w:val="0"/>
          <w:divBdr>
            <w:top w:val="none" w:sz="0" w:space="0" w:color="auto"/>
            <w:left w:val="none" w:sz="0" w:space="0" w:color="auto"/>
            <w:bottom w:val="none" w:sz="0" w:space="0" w:color="auto"/>
            <w:right w:val="none" w:sz="0" w:space="0" w:color="auto"/>
          </w:divBdr>
        </w:div>
        <w:div w:id="1753041411">
          <w:marLeft w:val="0"/>
          <w:marRight w:val="0"/>
          <w:marTop w:val="0"/>
          <w:marBottom w:val="0"/>
          <w:divBdr>
            <w:top w:val="none" w:sz="0" w:space="0" w:color="auto"/>
            <w:left w:val="none" w:sz="0" w:space="0" w:color="auto"/>
            <w:bottom w:val="none" w:sz="0" w:space="0" w:color="auto"/>
            <w:right w:val="none" w:sz="0" w:space="0" w:color="auto"/>
          </w:divBdr>
        </w:div>
      </w:divsChild>
    </w:div>
    <w:div w:id="536283160">
      <w:bodyDiv w:val="1"/>
      <w:marLeft w:val="0"/>
      <w:marRight w:val="0"/>
      <w:marTop w:val="0"/>
      <w:marBottom w:val="0"/>
      <w:divBdr>
        <w:top w:val="none" w:sz="0" w:space="0" w:color="auto"/>
        <w:left w:val="none" w:sz="0" w:space="0" w:color="auto"/>
        <w:bottom w:val="none" w:sz="0" w:space="0" w:color="auto"/>
        <w:right w:val="none" w:sz="0" w:space="0" w:color="auto"/>
      </w:divBdr>
    </w:div>
    <w:div w:id="550844679">
      <w:bodyDiv w:val="1"/>
      <w:marLeft w:val="0"/>
      <w:marRight w:val="0"/>
      <w:marTop w:val="0"/>
      <w:marBottom w:val="0"/>
      <w:divBdr>
        <w:top w:val="none" w:sz="0" w:space="0" w:color="auto"/>
        <w:left w:val="none" w:sz="0" w:space="0" w:color="auto"/>
        <w:bottom w:val="none" w:sz="0" w:space="0" w:color="auto"/>
        <w:right w:val="none" w:sz="0" w:space="0" w:color="auto"/>
      </w:divBdr>
    </w:div>
    <w:div w:id="600181105">
      <w:bodyDiv w:val="1"/>
      <w:marLeft w:val="0"/>
      <w:marRight w:val="0"/>
      <w:marTop w:val="0"/>
      <w:marBottom w:val="0"/>
      <w:divBdr>
        <w:top w:val="none" w:sz="0" w:space="0" w:color="auto"/>
        <w:left w:val="none" w:sz="0" w:space="0" w:color="auto"/>
        <w:bottom w:val="none" w:sz="0" w:space="0" w:color="auto"/>
        <w:right w:val="none" w:sz="0" w:space="0" w:color="auto"/>
      </w:divBdr>
      <w:divsChild>
        <w:div w:id="887762468">
          <w:marLeft w:val="0"/>
          <w:marRight w:val="0"/>
          <w:marTop w:val="0"/>
          <w:marBottom w:val="0"/>
          <w:divBdr>
            <w:top w:val="none" w:sz="0" w:space="0" w:color="auto"/>
            <w:left w:val="none" w:sz="0" w:space="0" w:color="auto"/>
            <w:bottom w:val="none" w:sz="0" w:space="0" w:color="auto"/>
            <w:right w:val="none" w:sz="0" w:space="0" w:color="auto"/>
          </w:divBdr>
        </w:div>
      </w:divsChild>
    </w:div>
    <w:div w:id="656495956">
      <w:bodyDiv w:val="1"/>
      <w:marLeft w:val="0"/>
      <w:marRight w:val="0"/>
      <w:marTop w:val="0"/>
      <w:marBottom w:val="0"/>
      <w:divBdr>
        <w:top w:val="none" w:sz="0" w:space="0" w:color="auto"/>
        <w:left w:val="none" w:sz="0" w:space="0" w:color="auto"/>
        <w:bottom w:val="none" w:sz="0" w:space="0" w:color="auto"/>
        <w:right w:val="none" w:sz="0" w:space="0" w:color="auto"/>
      </w:divBdr>
      <w:divsChild>
        <w:div w:id="30427507">
          <w:marLeft w:val="0"/>
          <w:marRight w:val="0"/>
          <w:marTop w:val="0"/>
          <w:marBottom w:val="0"/>
          <w:divBdr>
            <w:top w:val="none" w:sz="0" w:space="0" w:color="auto"/>
            <w:left w:val="none" w:sz="0" w:space="0" w:color="auto"/>
            <w:bottom w:val="none" w:sz="0" w:space="0" w:color="auto"/>
            <w:right w:val="none" w:sz="0" w:space="0" w:color="auto"/>
          </w:divBdr>
          <w:divsChild>
            <w:div w:id="1556892507">
              <w:marLeft w:val="0"/>
              <w:marRight w:val="0"/>
              <w:marTop w:val="0"/>
              <w:marBottom w:val="0"/>
              <w:divBdr>
                <w:top w:val="none" w:sz="0" w:space="0" w:color="auto"/>
                <w:left w:val="none" w:sz="0" w:space="0" w:color="auto"/>
                <w:bottom w:val="none" w:sz="0" w:space="0" w:color="auto"/>
                <w:right w:val="none" w:sz="0" w:space="0" w:color="auto"/>
              </w:divBdr>
            </w:div>
          </w:divsChild>
        </w:div>
        <w:div w:id="84231678">
          <w:marLeft w:val="0"/>
          <w:marRight w:val="0"/>
          <w:marTop w:val="0"/>
          <w:marBottom w:val="0"/>
          <w:divBdr>
            <w:top w:val="none" w:sz="0" w:space="0" w:color="auto"/>
            <w:left w:val="none" w:sz="0" w:space="0" w:color="auto"/>
            <w:bottom w:val="none" w:sz="0" w:space="0" w:color="auto"/>
            <w:right w:val="none" w:sz="0" w:space="0" w:color="auto"/>
          </w:divBdr>
          <w:divsChild>
            <w:div w:id="1056586035">
              <w:marLeft w:val="0"/>
              <w:marRight w:val="0"/>
              <w:marTop w:val="0"/>
              <w:marBottom w:val="0"/>
              <w:divBdr>
                <w:top w:val="none" w:sz="0" w:space="0" w:color="auto"/>
                <w:left w:val="none" w:sz="0" w:space="0" w:color="auto"/>
                <w:bottom w:val="none" w:sz="0" w:space="0" w:color="auto"/>
                <w:right w:val="none" w:sz="0" w:space="0" w:color="auto"/>
              </w:divBdr>
            </w:div>
          </w:divsChild>
        </w:div>
        <w:div w:id="101924476">
          <w:marLeft w:val="0"/>
          <w:marRight w:val="0"/>
          <w:marTop w:val="0"/>
          <w:marBottom w:val="0"/>
          <w:divBdr>
            <w:top w:val="none" w:sz="0" w:space="0" w:color="auto"/>
            <w:left w:val="none" w:sz="0" w:space="0" w:color="auto"/>
            <w:bottom w:val="none" w:sz="0" w:space="0" w:color="auto"/>
            <w:right w:val="none" w:sz="0" w:space="0" w:color="auto"/>
          </w:divBdr>
          <w:divsChild>
            <w:div w:id="1706785714">
              <w:marLeft w:val="0"/>
              <w:marRight w:val="0"/>
              <w:marTop w:val="0"/>
              <w:marBottom w:val="0"/>
              <w:divBdr>
                <w:top w:val="none" w:sz="0" w:space="0" w:color="auto"/>
                <w:left w:val="none" w:sz="0" w:space="0" w:color="auto"/>
                <w:bottom w:val="none" w:sz="0" w:space="0" w:color="auto"/>
                <w:right w:val="none" w:sz="0" w:space="0" w:color="auto"/>
              </w:divBdr>
            </w:div>
          </w:divsChild>
        </w:div>
        <w:div w:id="126238240">
          <w:marLeft w:val="0"/>
          <w:marRight w:val="0"/>
          <w:marTop w:val="0"/>
          <w:marBottom w:val="0"/>
          <w:divBdr>
            <w:top w:val="none" w:sz="0" w:space="0" w:color="auto"/>
            <w:left w:val="none" w:sz="0" w:space="0" w:color="auto"/>
            <w:bottom w:val="none" w:sz="0" w:space="0" w:color="auto"/>
            <w:right w:val="none" w:sz="0" w:space="0" w:color="auto"/>
          </w:divBdr>
          <w:divsChild>
            <w:div w:id="1612664471">
              <w:marLeft w:val="0"/>
              <w:marRight w:val="0"/>
              <w:marTop w:val="0"/>
              <w:marBottom w:val="0"/>
              <w:divBdr>
                <w:top w:val="none" w:sz="0" w:space="0" w:color="auto"/>
                <w:left w:val="none" w:sz="0" w:space="0" w:color="auto"/>
                <w:bottom w:val="none" w:sz="0" w:space="0" w:color="auto"/>
                <w:right w:val="none" w:sz="0" w:space="0" w:color="auto"/>
              </w:divBdr>
            </w:div>
          </w:divsChild>
        </w:div>
        <w:div w:id="142360386">
          <w:marLeft w:val="0"/>
          <w:marRight w:val="0"/>
          <w:marTop w:val="0"/>
          <w:marBottom w:val="0"/>
          <w:divBdr>
            <w:top w:val="none" w:sz="0" w:space="0" w:color="auto"/>
            <w:left w:val="none" w:sz="0" w:space="0" w:color="auto"/>
            <w:bottom w:val="none" w:sz="0" w:space="0" w:color="auto"/>
            <w:right w:val="none" w:sz="0" w:space="0" w:color="auto"/>
          </w:divBdr>
          <w:divsChild>
            <w:div w:id="1168788008">
              <w:marLeft w:val="0"/>
              <w:marRight w:val="0"/>
              <w:marTop w:val="0"/>
              <w:marBottom w:val="0"/>
              <w:divBdr>
                <w:top w:val="none" w:sz="0" w:space="0" w:color="auto"/>
                <w:left w:val="none" w:sz="0" w:space="0" w:color="auto"/>
                <w:bottom w:val="none" w:sz="0" w:space="0" w:color="auto"/>
                <w:right w:val="none" w:sz="0" w:space="0" w:color="auto"/>
              </w:divBdr>
            </w:div>
          </w:divsChild>
        </w:div>
        <w:div w:id="145979061">
          <w:marLeft w:val="0"/>
          <w:marRight w:val="0"/>
          <w:marTop w:val="0"/>
          <w:marBottom w:val="0"/>
          <w:divBdr>
            <w:top w:val="none" w:sz="0" w:space="0" w:color="auto"/>
            <w:left w:val="none" w:sz="0" w:space="0" w:color="auto"/>
            <w:bottom w:val="none" w:sz="0" w:space="0" w:color="auto"/>
            <w:right w:val="none" w:sz="0" w:space="0" w:color="auto"/>
          </w:divBdr>
          <w:divsChild>
            <w:div w:id="995500081">
              <w:marLeft w:val="0"/>
              <w:marRight w:val="0"/>
              <w:marTop w:val="0"/>
              <w:marBottom w:val="0"/>
              <w:divBdr>
                <w:top w:val="none" w:sz="0" w:space="0" w:color="auto"/>
                <w:left w:val="none" w:sz="0" w:space="0" w:color="auto"/>
                <w:bottom w:val="none" w:sz="0" w:space="0" w:color="auto"/>
                <w:right w:val="none" w:sz="0" w:space="0" w:color="auto"/>
              </w:divBdr>
            </w:div>
          </w:divsChild>
        </w:div>
        <w:div w:id="170219235">
          <w:marLeft w:val="0"/>
          <w:marRight w:val="0"/>
          <w:marTop w:val="0"/>
          <w:marBottom w:val="0"/>
          <w:divBdr>
            <w:top w:val="none" w:sz="0" w:space="0" w:color="auto"/>
            <w:left w:val="none" w:sz="0" w:space="0" w:color="auto"/>
            <w:bottom w:val="none" w:sz="0" w:space="0" w:color="auto"/>
            <w:right w:val="none" w:sz="0" w:space="0" w:color="auto"/>
          </w:divBdr>
          <w:divsChild>
            <w:div w:id="1730421242">
              <w:marLeft w:val="0"/>
              <w:marRight w:val="0"/>
              <w:marTop w:val="0"/>
              <w:marBottom w:val="0"/>
              <w:divBdr>
                <w:top w:val="none" w:sz="0" w:space="0" w:color="auto"/>
                <w:left w:val="none" w:sz="0" w:space="0" w:color="auto"/>
                <w:bottom w:val="none" w:sz="0" w:space="0" w:color="auto"/>
                <w:right w:val="none" w:sz="0" w:space="0" w:color="auto"/>
              </w:divBdr>
            </w:div>
          </w:divsChild>
        </w:div>
        <w:div w:id="197591896">
          <w:marLeft w:val="0"/>
          <w:marRight w:val="0"/>
          <w:marTop w:val="0"/>
          <w:marBottom w:val="0"/>
          <w:divBdr>
            <w:top w:val="none" w:sz="0" w:space="0" w:color="auto"/>
            <w:left w:val="none" w:sz="0" w:space="0" w:color="auto"/>
            <w:bottom w:val="none" w:sz="0" w:space="0" w:color="auto"/>
            <w:right w:val="none" w:sz="0" w:space="0" w:color="auto"/>
          </w:divBdr>
          <w:divsChild>
            <w:div w:id="663508701">
              <w:marLeft w:val="0"/>
              <w:marRight w:val="0"/>
              <w:marTop w:val="0"/>
              <w:marBottom w:val="0"/>
              <w:divBdr>
                <w:top w:val="none" w:sz="0" w:space="0" w:color="auto"/>
                <w:left w:val="none" w:sz="0" w:space="0" w:color="auto"/>
                <w:bottom w:val="none" w:sz="0" w:space="0" w:color="auto"/>
                <w:right w:val="none" w:sz="0" w:space="0" w:color="auto"/>
              </w:divBdr>
            </w:div>
          </w:divsChild>
        </w:div>
        <w:div w:id="211698999">
          <w:marLeft w:val="0"/>
          <w:marRight w:val="0"/>
          <w:marTop w:val="0"/>
          <w:marBottom w:val="0"/>
          <w:divBdr>
            <w:top w:val="none" w:sz="0" w:space="0" w:color="auto"/>
            <w:left w:val="none" w:sz="0" w:space="0" w:color="auto"/>
            <w:bottom w:val="none" w:sz="0" w:space="0" w:color="auto"/>
            <w:right w:val="none" w:sz="0" w:space="0" w:color="auto"/>
          </w:divBdr>
          <w:divsChild>
            <w:div w:id="1923442789">
              <w:marLeft w:val="0"/>
              <w:marRight w:val="0"/>
              <w:marTop w:val="0"/>
              <w:marBottom w:val="0"/>
              <w:divBdr>
                <w:top w:val="none" w:sz="0" w:space="0" w:color="auto"/>
                <w:left w:val="none" w:sz="0" w:space="0" w:color="auto"/>
                <w:bottom w:val="none" w:sz="0" w:space="0" w:color="auto"/>
                <w:right w:val="none" w:sz="0" w:space="0" w:color="auto"/>
              </w:divBdr>
            </w:div>
          </w:divsChild>
        </w:div>
        <w:div w:id="213661630">
          <w:marLeft w:val="0"/>
          <w:marRight w:val="0"/>
          <w:marTop w:val="0"/>
          <w:marBottom w:val="0"/>
          <w:divBdr>
            <w:top w:val="none" w:sz="0" w:space="0" w:color="auto"/>
            <w:left w:val="none" w:sz="0" w:space="0" w:color="auto"/>
            <w:bottom w:val="none" w:sz="0" w:space="0" w:color="auto"/>
            <w:right w:val="none" w:sz="0" w:space="0" w:color="auto"/>
          </w:divBdr>
          <w:divsChild>
            <w:div w:id="563610634">
              <w:marLeft w:val="0"/>
              <w:marRight w:val="0"/>
              <w:marTop w:val="0"/>
              <w:marBottom w:val="0"/>
              <w:divBdr>
                <w:top w:val="none" w:sz="0" w:space="0" w:color="auto"/>
                <w:left w:val="none" w:sz="0" w:space="0" w:color="auto"/>
                <w:bottom w:val="none" w:sz="0" w:space="0" w:color="auto"/>
                <w:right w:val="none" w:sz="0" w:space="0" w:color="auto"/>
              </w:divBdr>
            </w:div>
          </w:divsChild>
        </w:div>
        <w:div w:id="214631538">
          <w:marLeft w:val="0"/>
          <w:marRight w:val="0"/>
          <w:marTop w:val="0"/>
          <w:marBottom w:val="0"/>
          <w:divBdr>
            <w:top w:val="none" w:sz="0" w:space="0" w:color="auto"/>
            <w:left w:val="none" w:sz="0" w:space="0" w:color="auto"/>
            <w:bottom w:val="none" w:sz="0" w:space="0" w:color="auto"/>
            <w:right w:val="none" w:sz="0" w:space="0" w:color="auto"/>
          </w:divBdr>
          <w:divsChild>
            <w:div w:id="1857426624">
              <w:marLeft w:val="0"/>
              <w:marRight w:val="0"/>
              <w:marTop w:val="0"/>
              <w:marBottom w:val="0"/>
              <w:divBdr>
                <w:top w:val="none" w:sz="0" w:space="0" w:color="auto"/>
                <w:left w:val="none" w:sz="0" w:space="0" w:color="auto"/>
                <w:bottom w:val="none" w:sz="0" w:space="0" w:color="auto"/>
                <w:right w:val="none" w:sz="0" w:space="0" w:color="auto"/>
              </w:divBdr>
            </w:div>
          </w:divsChild>
        </w:div>
        <w:div w:id="225995550">
          <w:marLeft w:val="0"/>
          <w:marRight w:val="0"/>
          <w:marTop w:val="0"/>
          <w:marBottom w:val="0"/>
          <w:divBdr>
            <w:top w:val="none" w:sz="0" w:space="0" w:color="auto"/>
            <w:left w:val="none" w:sz="0" w:space="0" w:color="auto"/>
            <w:bottom w:val="none" w:sz="0" w:space="0" w:color="auto"/>
            <w:right w:val="none" w:sz="0" w:space="0" w:color="auto"/>
          </w:divBdr>
          <w:divsChild>
            <w:div w:id="1797597013">
              <w:marLeft w:val="0"/>
              <w:marRight w:val="0"/>
              <w:marTop w:val="0"/>
              <w:marBottom w:val="0"/>
              <w:divBdr>
                <w:top w:val="none" w:sz="0" w:space="0" w:color="auto"/>
                <w:left w:val="none" w:sz="0" w:space="0" w:color="auto"/>
                <w:bottom w:val="none" w:sz="0" w:space="0" w:color="auto"/>
                <w:right w:val="none" w:sz="0" w:space="0" w:color="auto"/>
              </w:divBdr>
            </w:div>
          </w:divsChild>
        </w:div>
        <w:div w:id="228852070">
          <w:marLeft w:val="0"/>
          <w:marRight w:val="0"/>
          <w:marTop w:val="0"/>
          <w:marBottom w:val="0"/>
          <w:divBdr>
            <w:top w:val="none" w:sz="0" w:space="0" w:color="auto"/>
            <w:left w:val="none" w:sz="0" w:space="0" w:color="auto"/>
            <w:bottom w:val="none" w:sz="0" w:space="0" w:color="auto"/>
            <w:right w:val="none" w:sz="0" w:space="0" w:color="auto"/>
          </w:divBdr>
          <w:divsChild>
            <w:div w:id="264465893">
              <w:marLeft w:val="0"/>
              <w:marRight w:val="0"/>
              <w:marTop w:val="0"/>
              <w:marBottom w:val="0"/>
              <w:divBdr>
                <w:top w:val="none" w:sz="0" w:space="0" w:color="auto"/>
                <w:left w:val="none" w:sz="0" w:space="0" w:color="auto"/>
                <w:bottom w:val="none" w:sz="0" w:space="0" w:color="auto"/>
                <w:right w:val="none" w:sz="0" w:space="0" w:color="auto"/>
              </w:divBdr>
            </w:div>
          </w:divsChild>
        </w:div>
        <w:div w:id="258032094">
          <w:marLeft w:val="0"/>
          <w:marRight w:val="0"/>
          <w:marTop w:val="0"/>
          <w:marBottom w:val="0"/>
          <w:divBdr>
            <w:top w:val="none" w:sz="0" w:space="0" w:color="auto"/>
            <w:left w:val="none" w:sz="0" w:space="0" w:color="auto"/>
            <w:bottom w:val="none" w:sz="0" w:space="0" w:color="auto"/>
            <w:right w:val="none" w:sz="0" w:space="0" w:color="auto"/>
          </w:divBdr>
          <w:divsChild>
            <w:div w:id="2010787413">
              <w:marLeft w:val="0"/>
              <w:marRight w:val="0"/>
              <w:marTop w:val="0"/>
              <w:marBottom w:val="0"/>
              <w:divBdr>
                <w:top w:val="none" w:sz="0" w:space="0" w:color="auto"/>
                <w:left w:val="none" w:sz="0" w:space="0" w:color="auto"/>
                <w:bottom w:val="none" w:sz="0" w:space="0" w:color="auto"/>
                <w:right w:val="none" w:sz="0" w:space="0" w:color="auto"/>
              </w:divBdr>
            </w:div>
          </w:divsChild>
        </w:div>
        <w:div w:id="270432821">
          <w:marLeft w:val="0"/>
          <w:marRight w:val="0"/>
          <w:marTop w:val="0"/>
          <w:marBottom w:val="0"/>
          <w:divBdr>
            <w:top w:val="none" w:sz="0" w:space="0" w:color="auto"/>
            <w:left w:val="none" w:sz="0" w:space="0" w:color="auto"/>
            <w:bottom w:val="none" w:sz="0" w:space="0" w:color="auto"/>
            <w:right w:val="none" w:sz="0" w:space="0" w:color="auto"/>
          </w:divBdr>
          <w:divsChild>
            <w:div w:id="848525921">
              <w:marLeft w:val="0"/>
              <w:marRight w:val="0"/>
              <w:marTop w:val="0"/>
              <w:marBottom w:val="0"/>
              <w:divBdr>
                <w:top w:val="none" w:sz="0" w:space="0" w:color="auto"/>
                <w:left w:val="none" w:sz="0" w:space="0" w:color="auto"/>
                <w:bottom w:val="none" w:sz="0" w:space="0" w:color="auto"/>
                <w:right w:val="none" w:sz="0" w:space="0" w:color="auto"/>
              </w:divBdr>
            </w:div>
          </w:divsChild>
        </w:div>
        <w:div w:id="305472888">
          <w:marLeft w:val="0"/>
          <w:marRight w:val="0"/>
          <w:marTop w:val="0"/>
          <w:marBottom w:val="0"/>
          <w:divBdr>
            <w:top w:val="none" w:sz="0" w:space="0" w:color="auto"/>
            <w:left w:val="none" w:sz="0" w:space="0" w:color="auto"/>
            <w:bottom w:val="none" w:sz="0" w:space="0" w:color="auto"/>
            <w:right w:val="none" w:sz="0" w:space="0" w:color="auto"/>
          </w:divBdr>
          <w:divsChild>
            <w:div w:id="1533884694">
              <w:marLeft w:val="0"/>
              <w:marRight w:val="0"/>
              <w:marTop w:val="0"/>
              <w:marBottom w:val="0"/>
              <w:divBdr>
                <w:top w:val="none" w:sz="0" w:space="0" w:color="auto"/>
                <w:left w:val="none" w:sz="0" w:space="0" w:color="auto"/>
                <w:bottom w:val="none" w:sz="0" w:space="0" w:color="auto"/>
                <w:right w:val="none" w:sz="0" w:space="0" w:color="auto"/>
              </w:divBdr>
            </w:div>
          </w:divsChild>
        </w:div>
        <w:div w:id="323514170">
          <w:marLeft w:val="0"/>
          <w:marRight w:val="0"/>
          <w:marTop w:val="0"/>
          <w:marBottom w:val="0"/>
          <w:divBdr>
            <w:top w:val="none" w:sz="0" w:space="0" w:color="auto"/>
            <w:left w:val="none" w:sz="0" w:space="0" w:color="auto"/>
            <w:bottom w:val="none" w:sz="0" w:space="0" w:color="auto"/>
            <w:right w:val="none" w:sz="0" w:space="0" w:color="auto"/>
          </w:divBdr>
          <w:divsChild>
            <w:div w:id="70808958">
              <w:marLeft w:val="0"/>
              <w:marRight w:val="0"/>
              <w:marTop w:val="0"/>
              <w:marBottom w:val="0"/>
              <w:divBdr>
                <w:top w:val="none" w:sz="0" w:space="0" w:color="auto"/>
                <w:left w:val="none" w:sz="0" w:space="0" w:color="auto"/>
                <w:bottom w:val="none" w:sz="0" w:space="0" w:color="auto"/>
                <w:right w:val="none" w:sz="0" w:space="0" w:color="auto"/>
              </w:divBdr>
            </w:div>
          </w:divsChild>
        </w:div>
        <w:div w:id="323971336">
          <w:marLeft w:val="0"/>
          <w:marRight w:val="0"/>
          <w:marTop w:val="0"/>
          <w:marBottom w:val="0"/>
          <w:divBdr>
            <w:top w:val="none" w:sz="0" w:space="0" w:color="auto"/>
            <w:left w:val="none" w:sz="0" w:space="0" w:color="auto"/>
            <w:bottom w:val="none" w:sz="0" w:space="0" w:color="auto"/>
            <w:right w:val="none" w:sz="0" w:space="0" w:color="auto"/>
          </w:divBdr>
          <w:divsChild>
            <w:div w:id="1310090224">
              <w:marLeft w:val="0"/>
              <w:marRight w:val="0"/>
              <w:marTop w:val="0"/>
              <w:marBottom w:val="0"/>
              <w:divBdr>
                <w:top w:val="none" w:sz="0" w:space="0" w:color="auto"/>
                <w:left w:val="none" w:sz="0" w:space="0" w:color="auto"/>
                <w:bottom w:val="none" w:sz="0" w:space="0" w:color="auto"/>
                <w:right w:val="none" w:sz="0" w:space="0" w:color="auto"/>
              </w:divBdr>
            </w:div>
          </w:divsChild>
        </w:div>
        <w:div w:id="370695364">
          <w:marLeft w:val="0"/>
          <w:marRight w:val="0"/>
          <w:marTop w:val="0"/>
          <w:marBottom w:val="0"/>
          <w:divBdr>
            <w:top w:val="none" w:sz="0" w:space="0" w:color="auto"/>
            <w:left w:val="none" w:sz="0" w:space="0" w:color="auto"/>
            <w:bottom w:val="none" w:sz="0" w:space="0" w:color="auto"/>
            <w:right w:val="none" w:sz="0" w:space="0" w:color="auto"/>
          </w:divBdr>
          <w:divsChild>
            <w:div w:id="622154865">
              <w:marLeft w:val="0"/>
              <w:marRight w:val="0"/>
              <w:marTop w:val="0"/>
              <w:marBottom w:val="0"/>
              <w:divBdr>
                <w:top w:val="none" w:sz="0" w:space="0" w:color="auto"/>
                <w:left w:val="none" w:sz="0" w:space="0" w:color="auto"/>
                <w:bottom w:val="none" w:sz="0" w:space="0" w:color="auto"/>
                <w:right w:val="none" w:sz="0" w:space="0" w:color="auto"/>
              </w:divBdr>
            </w:div>
          </w:divsChild>
        </w:div>
        <w:div w:id="404231762">
          <w:marLeft w:val="0"/>
          <w:marRight w:val="0"/>
          <w:marTop w:val="0"/>
          <w:marBottom w:val="0"/>
          <w:divBdr>
            <w:top w:val="none" w:sz="0" w:space="0" w:color="auto"/>
            <w:left w:val="none" w:sz="0" w:space="0" w:color="auto"/>
            <w:bottom w:val="none" w:sz="0" w:space="0" w:color="auto"/>
            <w:right w:val="none" w:sz="0" w:space="0" w:color="auto"/>
          </w:divBdr>
          <w:divsChild>
            <w:div w:id="609163757">
              <w:marLeft w:val="0"/>
              <w:marRight w:val="0"/>
              <w:marTop w:val="0"/>
              <w:marBottom w:val="0"/>
              <w:divBdr>
                <w:top w:val="none" w:sz="0" w:space="0" w:color="auto"/>
                <w:left w:val="none" w:sz="0" w:space="0" w:color="auto"/>
                <w:bottom w:val="none" w:sz="0" w:space="0" w:color="auto"/>
                <w:right w:val="none" w:sz="0" w:space="0" w:color="auto"/>
              </w:divBdr>
            </w:div>
          </w:divsChild>
        </w:div>
        <w:div w:id="449861325">
          <w:marLeft w:val="0"/>
          <w:marRight w:val="0"/>
          <w:marTop w:val="0"/>
          <w:marBottom w:val="0"/>
          <w:divBdr>
            <w:top w:val="none" w:sz="0" w:space="0" w:color="auto"/>
            <w:left w:val="none" w:sz="0" w:space="0" w:color="auto"/>
            <w:bottom w:val="none" w:sz="0" w:space="0" w:color="auto"/>
            <w:right w:val="none" w:sz="0" w:space="0" w:color="auto"/>
          </w:divBdr>
          <w:divsChild>
            <w:div w:id="1265268762">
              <w:marLeft w:val="0"/>
              <w:marRight w:val="0"/>
              <w:marTop w:val="0"/>
              <w:marBottom w:val="0"/>
              <w:divBdr>
                <w:top w:val="none" w:sz="0" w:space="0" w:color="auto"/>
                <w:left w:val="none" w:sz="0" w:space="0" w:color="auto"/>
                <w:bottom w:val="none" w:sz="0" w:space="0" w:color="auto"/>
                <w:right w:val="none" w:sz="0" w:space="0" w:color="auto"/>
              </w:divBdr>
            </w:div>
          </w:divsChild>
        </w:div>
        <w:div w:id="466123929">
          <w:marLeft w:val="0"/>
          <w:marRight w:val="0"/>
          <w:marTop w:val="0"/>
          <w:marBottom w:val="0"/>
          <w:divBdr>
            <w:top w:val="none" w:sz="0" w:space="0" w:color="auto"/>
            <w:left w:val="none" w:sz="0" w:space="0" w:color="auto"/>
            <w:bottom w:val="none" w:sz="0" w:space="0" w:color="auto"/>
            <w:right w:val="none" w:sz="0" w:space="0" w:color="auto"/>
          </w:divBdr>
          <w:divsChild>
            <w:div w:id="611018313">
              <w:marLeft w:val="0"/>
              <w:marRight w:val="0"/>
              <w:marTop w:val="0"/>
              <w:marBottom w:val="0"/>
              <w:divBdr>
                <w:top w:val="none" w:sz="0" w:space="0" w:color="auto"/>
                <w:left w:val="none" w:sz="0" w:space="0" w:color="auto"/>
                <w:bottom w:val="none" w:sz="0" w:space="0" w:color="auto"/>
                <w:right w:val="none" w:sz="0" w:space="0" w:color="auto"/>
              </w:divBdr>
            </w:div>
          </w:divsChild>
        </w:div>
        <w:div w:id="473135319">
          <w:marLeft w:val="0"/>
          <w:marRight w:val="0"/>
          <w:marTop w:val="0"/>
          <w:marBottom w:val="0"/>
          <w:divBdr>
            <w:top w:val="none" w:sz="0" w:space="0" w:color="auto"/>
            <w:left w:val="none" w:sz="0" w:space="0" w:color="auto"/>
            <w:bottom w:val="none" w:sz="0" w:space="0" w:color="auto"/>
            <w:right w:val="none" w:sz="0" w:space="0" w:color="auto"/>
          </w:divBdr>
          <w:divsChild>
            <w:div w:id="98305919">
              <w:marLeft w:val="0"/>
              <w:marRight w:val="0"/>
              <w:marTop w:val="0"/>
              <w:marBottom w:val="0"/>
              <w:divBdr>
                <w:top w:val="none" w:sz="0" w:space="0" w:color="auto"/>
                <w:left w:val="none" w:sz="0" w:space="0" w:color="auto"/>
                <w:bottom w:val="none" w:sz="0" w:space="0" w:color="auto"/>
                <w:right w:val="none" w:sz="0" w:space="0" w:color="auto"/>
              </w:divBdr>
            </w:div>
          </w:divsChild>
        </w:div>
        <w:div w:id="509295944">
          <w:marLeft w:val="0"/>
          <w:marRight w:val="0"/>
          <w:marTop w:val="0"/>
          <w:marBottom w:val="0"/>
          <w:divBdr>
            <w:top w:val="none" w:sz="0" w:space="0" w:color="auto"/>
            <w:left w:val="none" w:sz="0" w:space="0" w:color="auto"/>
            <w:bottom w:val="none" w:sz="0" w:space="0" w:color="auto"/>
            <w:right w:val="none" w:sz="0" w:space="0" w:color="auto"/>
          </w:divBdr>
          <w:divsChild>
            <w:div w:id="345792076">
              <w:marLeft w:val="0"/>
              <w:marRight w:val="0"/>
              <w:marTop w:val="0"/>
              <w:marBottom w:val="0"/>
              <w:divBdr>
                <w:top w:val="none" w:sz="0" w:space="0" w:color="auto"/>
                <w:left w:val="none" w:sz="0" w:space="0" w:color="auto"/>
                <w:bottom w:val="none" w:sz="0" w:space="0" w:color="auto"/>
                <w:right w:val="none" w:sz="0" w:space="0" w:color="auto"/>
              </w:divBdr>
            </w:div>
          </w:divsChild>
        </w:div>
        <w:div w:id="518128796">
          <w:marLeft w:val="0"/>
          <w:marRight w:val="0"/>
          <w:marTop w:val="0"/>
          <w:marBottom w:val="0"/>
          <w:divBdr>
            <w:top w:val="none" w:sz="0" w:space="0" w:color="auto"/>
            <w:left w:val="none" w:sz="0" w:space="0" w:color="auto"/>
            <w:bottom w:val="none" w:sz="0" w:space="0" w:color="auto"/>
            <w:right w:val="none" w:sz="0" w:space="0" w:color="auto"/>
          </w:divBdr>
          <w:divsChild>
            <w:div w:id="271984493">
              <w:marLeft w:val="0"/>
              <w:marRight w:val="0"/>
              <w:marTop w:val="0"/>
              <w:marBottom w:val="0"/>
              <w:divBdr>
                <w:top w:val="none" w:sz="0" w:space="0" w:color="auto"/>
                <w:left w:val="none" w:sz="0" w:space="0" w:color="auto"/>
                <w:bottom w:val="none" w:sz="0" w:space="0" w:color="auto"/>
                <w:right w:val="none" w:sz="0" w:space="0" w:color="auto"/>
              </w:divBdr>
            </w:div>
          </w:divsChild>
        </w:div>
        <w:div w:id="546259773">
          <w:marLeft w:val="0"/>
          <w:marRight w:val="0"/>
          <w:marTop w:val="0"/>
          <w:marBottom w:val="0"/>
          <w:divBdr>
            <w:top w:val="none" w:sz="0" w:space="0" w:color="auto"/>
            <w:left w:val="none" w:sz="0" w:space="0" w:color="auto"/>
            <w:bottom w:val="none" w:sz="0" w:space="0" w:color="auto"/>
            <w:right w:val="none" w:sz="0" w:space="0" w:color="auto"/>
          </w:divBdr>
          <w:divsChild>
            <w:div w:id="664476962">
              <w:marLeft w:val="0"/>
              <w:marRight w:val="0"/>
              <w:marTop w:val="0"/>
              <w:marBottom w:val="0"/>
              <w:divBdr>
                <w:top w:val="none" w:sz="0" w:space="0" w:color="auto"/>
                <w:left w:val="none" w:sz="0" w:space="0" w:color="auto"/>
                <w:bottom w:val="none" w:sz="0" w:space="0" w:color="auto"/>
                <w:right w:val="none" w:sz="0" w:space="0" w:color="auto"/>
              </w:divBdr>
            </w:div>
          </w:divsChild>
        </w:div>
        <w:div w:id="578515847">
          <w:marLeft w:val="0"/>
          <w:marRight w:val="0"/>
          <w:marTop w:val="0"/>
          <w:marBottom w:val="0"/>
          <w:divBdr>
            <w:top w:val="none" w:sz="0" w:space="0" w:color="auto"/>
            <w:left w:val="none" w:sz="0" w:space="0" w:color="auto"/>
            <w:bottom w:val="none" w:sz="0" w:space="0" w:color="auto"/>
            <w:right w:val="none" w:sz="0" w:space="0" w:color="auto"/>
          </w:divBdr>
          <w:divsChild>
            <w:div w:id="749041770">
              <w:marLeft w:val="0"/>
              <w:marRight w:val="0"/>
              <w:marTop w:val="0"/>
              <w:marBottom w:val="0"/>
              <w:divBdr>
                <w:top w:val="none" w:sz="0" w:space="0" w:color="auto"/>
                <w:left w:val="none" w:sz="0" w:space="0" w:color="auto"/>
                <w:bottom w:val="none" w:sz="0" w:space="0" w:color="auto"/>
                <w:right w:val="none" w:sz="0" w:space="0" w:color="auto"/>
              </w:divBdr>
            </w:div>
          </w:divsChild>
        </w:div>
        <w:div w:id="619996850">
          <w:marLeft w:val="0"/>
          <w:marRight w:val="0"/>
          <w:marTop w:val="0"/>
          <w:marBottom w:val="0"/>
          <w:divBdr>
            <w:top w:val="none" w:sz="0" w:space="0" w:color="auto"/>
            <w:left w:val="none" w:sz="0" w:space="0" w:color="auto"/>
            <w:bottom w:val="none" w:sz="0" w:space="0" w:color="auto"/>
            <w:right w:val="none" w:sz="0" w:space="0" w:color="auto"/>
          </w:divBdr>
          <w:divsChild>
            <w:div w:id="1699623283">
              <w:marLeft w:val="0"/>
              <w:marRight w:val="0"/>
              <w:marTop w:val="0"/>
              <w:marBottom w:val="0"/>
              <w:divBdr>
                <w:top w:val="none" w:sz="0" w:space="0" w:color="auto"/>
                <w:left w:val="none" w:sz="0" w:space="0" w:color="auto"/>
                <w:bottom w:val="none" w:sz="0" w:space="0" w:color="auto"/>
                <w:right w:val="none" w:sz="0" w:space="0" w:color="auto"/>
              </w:divBdr>
            </w:div>
          </w:divsChild>
        </w:div>
        <w:div w:id="663356987">
          <w:marLeft w:val="0"/>
          <w:marRight w:val="0"/>
          <w:marTop w:val="0"/>
          <w:marBottom w:val="0"/>
          <w:divBdr>
            <w:top w:val="none" w:sz="0" w:space="0" w:color="auto"/>
            <w:left w:val="none" w:sz="0" w:space="0" w:color="auto"/>
            <w:bottom w:val="none" w:sz="0" w:space="0" w:color="auto"/>
            <w:right w:val="none" w:sz="0" w:space="0" w:color="auto"/>
          </w:divBdr>
          <w:divsChild>
            <w:div w:id="843714705">
              <w:marLeft w:val="0"/>
              <w:marRight w:val="0"/>
              <w:marTop w:val="0"/>
              <w:marBottom w:val="0"/>
              <w:divBdr>
                <w:top w:val="none" w:sz="0" w:space="0" w:color="auto"/>
                <w:left w:val="none" w:sz="0" w:space="0" w:color="auto"/>
                <w:bottom w:val="none" w:sz="0" w:space="0" w:color="auto"/>
                <w:right w:val="none" w:sz="0" w:space="0" w:color="auto"/>
              </w:divBdr>
            </w:div>
          </w:divsChild>
        </w:div>
        <w:div w:id="691154747">
          <w:marLeft w:val="0"/>
          <w:marRight w:val="0"/>
          <w:marTop w:val="0"/>
          <w:marBottom w:val="0"/>
          <w:divBdr>
            <w:top w:val="none" w:sz="0" w:space="0" w:color="auto"/>
            <w:left w:val="none" w:sz="0" w:space="0" w:color="auto"/>
            <w:bottom w:val="none" w:sz="0" w:space="0" w:color="auto"/>
            <w:right w:val="none" w:sz="0" w:space="0" w:color="auto"/>
          </w:divBdr>
          <w:divsChild>
            <w:div w:id="1246648020">
              <w:marLeft w:val="0"/>
              <w:marRight w:val="0"/>
              <w:marTop w:val="0"/>
              <w:marBottom w:val="0"/>
              <w:divBdr>
                <w:top w:val="none" w:sz="0" w:space="0" w:color="auto"/>
                <w:left w:val="none" w:sz="0" w:space="0" w:color="auto"/>
                <w:bottom w:val="none" w:sz="0" w:space="0" w:color="auto"/>
                <w:right w:val="none" w:sz="0" w:space="0" w:color="auto"/>
              </w:divBdr>
            </w:div>
          </w:divsChild>
        </w:div>
        <w:div w:id="702754338">
          <w:marLeft w:val="0"/>
          <w:marRight w:val="0"/>
          <w:marTop w:val="0"/>
          <w:marBottom w:val="0"/>
          <w:divBdr>
            <w:top w:val="none" w:sz="0" w:space="0" w:color="auto"/>
            <w:left w:val="none" w:sz="0" w:space="0" w:color="auto"/>
            <w:bottom w:val="none" w:sz="0" w:space="0" w:color="auto"/>
            <w:right w:val="none" w:sz="0" w:space="0" w:color="auto"/>
          </w:divBdr>
          <w:divsChild>
            <w:div w:id="1902398407">
              <w:marLeft w:val="0"/>
              <w:marRight w:val="0"/>
              <w:marTop w:val="0"/>
              <w:marBottom w:val="0"/>
              <w:divBdr>
                <w:top w:val="none" w:sz="0" w:space="0" w:color="auto"/>
                <w:left w:val="none" w:sz="0" w:space="0" w:color="auto"/>
                <w:bottom w:val="none" w:sz="0" w:space="0" w:color="auto"/>
                <w:right w:val="none" w:sz="0" w:space="0" w:color="auto"/>
              </w:divBdr>
            </w:div>
          </w:divsChild>
        </w:div>
        <w:div w:id="750079191">
          <w:marLeft w:val="0"/>
          <w:marRight w:val="0"/>
          <w:marTop w:val="0"/>
          <w:marBottom w:val="0"/>
          <w:divBdr>
            <w:top w:val="none" w:sz="0" w:space="0" w:color="auto"/>
            <w:left w:val="none" w:sz="0" w:space="0" w:color="auto"/>
            <w:bottom w:val="none" w:sz="0" w:space="0" w:color="auto"/>
            <w:right w:val="none" w:sz="0" w:space="0" w:color="auto"/>
          </w:divBdr>
          <w:divsChild>
            <w:div w:id="1997418023">
              <w:marLeft w:val="0"/>
              <w:marRight w:val="0"/>
              <w:marTop w:val="0"/>
              <w:marBottom w:val="0"/>
              <w:divBdr>
                <w:top w:val="none" w:sz="0" w:space="0" w:color="auto"/>
                <w:left w:val="none" w:sz="0" w:space="0" w:color="auto"/>
                <w:bottom w:val="none" w:sz="0" w:space="0" w:color="auto"/>
                <w:right w:val="none" w:sz="0" w:space="0" w:color="auto"/>
              </w:divBdr>
            </w:div>
          </w:divsChild>
        </w:div>
        <w:div w:id="789200075">
          <w:marLeft w:val="0"/>
          <w:marRight w:val="0"/>
          <w:marTop w:val="0"/>
          <w:marBottom w:val="0"/>
          <w:divBdr>
            <w:top w:val="none" w:sz="0" w:space="0" w:color="auto"/>
            <w:left w:val="none" w:sz="0" w:space="0" w:color="auto"/>
            <w:bottom w:val="none" w:sz="0" w:space="0" w:color="auto"/>
            <w:right w:val="none" w:sz="0" w:space="0" w:color="auto"/>
          </w:divBdr>
          <w:divsChild>
            <w:div w:id="1945455436">
              <w:marLeft w:val="0"/>
              <w:marRight w:val="0"/>
              <w:marTop w:val="0"/>
              <w:marBottom w:val="0"/>
              <w:divBdr>
                <w:top w:val="none" w:sz="0" w:space="0" w:color="auto"/>
                <w:left w:val="none" w:sz="0" w:space="0" w:color="auto"/>
                <w:bottom w:val="none" w:sz="0" w:space="0" w:color="auto"/>
                <w:right w:val="none" w:sz="0" w:space="0" w:color="auto"/>
              </w:divBdr>
            </w:div>
          </w:divsChild>
        </w:div>
        <w:div w:id="844629252">
          <w:marLeft w:val="0"/>
          <w:marRight w:val="0"/>
          <w:marTop w:val="0"/>
          <w:marBottom w:val="0"/>
          <w:divBdr>
            <w:top w:val="none" w:sz="0" w:space="0" w:color="auto"/>
            <w:left w:val="none" w:sz="0" w:space="0" w:color="auto"/>
            <w:bottom w:val="none" w:sz="0" w:space="0" w:color="auto"/>
            <w:right w:val="none" w:sz="0" w:space="0" w:color="auto"/>
          </w:divBdr>
          <w:divsChild>
            <w:div w:id="1537621565">
              <w:marLeft w:val="0"/>
              <w:marRight w:val="0"/>
              <w:marTop w:val="0"/>
              <w:marBottom w:val="0"/>
              <w:divBdr>
                <w:top w:val="none" w:sz="0" w:space="0" w:color="auto"/>
                <w:left w:val="none" w:sz="0" w:space="0" w:color="auto"/>
                <w:bottom w:val="none" w:sz="0" w:space="0" w:color="auto"/>
                <w:right w:val="none" w:sz="0" w:space="0" w:color="auto"/>
              </w:divBdr>
            </w:div>
          </w:divsChild>
        </w:div>
        <w:div w:id="864901926">
          <w:marLeft w:val="0"/>
          <w:marRight w:val="0"/>
          <w:marTop w:val="0"/>
          <w:marBottom w:val="0"/>
          <w:divBdr>
            <w:top w:val="none" w:sz="0" w:space="0" w:color="auto"/>
            <w:left w:val="none" w:sz="0" w:space="0" w:color="auto"/>
            <w:bottom w:val="none" w:sz="0" w:space="0" w:color="auto"/>
            <w:right w:val="none" w:sz="0" w:space="0" w:color="auto"/>
          </w:divBdr>
          <w:divsChild>
            <w:div w:id="595292019">
              <w:marLeft w:val="0"/>
              <w:marRight w:val="0"/>
              <w:marTop w:val="0"/>
              <w:marBottom w:val="0"/>
              <w:divBdr>
                <w:top w:val="none" w:sz="0" w:space="0" w:color="auto"/>
                <w:left w:val="none" w:sz="0" w:space="0" w:color="auto"/>
                <w:bottom w:val="none" w:sz="0" w:space="0" w:color="auto"/>
                <w:right w:val="none" w:sz="0" w:space="0" w:color="auto"/>
              </w:divBdr>
            </w:div>
          </w:divsChild>
        </w:div>
        <w:div w:id="876426913">
          <w:marLeft w:val="0"/>
          <w:marRight w:val="0"/>
          <w:marTop w:val="0"/>
          <w:marBottom w:val="0"/>
          <w:divBdr>
            <w:top w:val="none" w:sz="0" w:space="0" w:color="auto"/>
            <w:left w:val="none" w:sz="0" w:space="0" w:color="auto"/>
            <w:bottom w:val="none" w:sz="0" w:space="0" w:color="auto"/>
            <w:right w:val="none" w:sz="0" w:space="0" w:color="auto"/>
          </w:divBdr>
          <w:divsChild>
            <w:div w:id="978221376">
              <w:marLeft w:val="0"/>
              <w:marRight w:val="0"/>
              <w:marTop w:val="0"/>
              <w:marBottom w:val="0"/>
              <w:divBdr>
                <w:top w:val="none" w:sz="0" w:space="0" w:color="auto"/>
                <w:left w:val="none" w:sz="0" w:space="0" w:color="auto"/>
                <w:bottom w:val="none" w:sz="0" w:space="0" w:color="auto"/>
                <w:right w:val="none" w:sz="0" w:space="0" w:color="auto"/>
              </w:divBdr>
            </w:div>
          </w:divsChild>
        </w:div>
        <w:div w:id="882979267">
          <w:marLeft w:val="0"/>
          <w:marRight w:val="0"/>
          <w:marTop w:val="0"/>
          <w:marBottom w:val="0"/>
          <w:divBdr>
            <w:top w:val="none" w:sz="0" w:space="0" w:color="auto"/>
            <w:left w:val="none" w:sz="0" w:space="0" w:color="auto"/>
            <w:bottom w:val="none" w:sz="0" w:space="0" w:color="auto"/>
            <w:right w:val="none" w:sz="0" w:space="0" w:color="auto"/>
          </w:divBdr>
          <w:divsChild>
            <w:div w:id="1417439864">
              <w:marLeft w:val="0"/>
              <w:marRight w:val="0"/>
              <w:marTop w:val="0"/>
              <w:marBottom w:val="0"/>
              <w:divBdr>
                <w:top w:val="none" w:sz="0" w:space="0" w:color="auto"/>
                <w:left w:val="none" w:sz="0" w:space="0" w:color="auto"/>
                <w:bottom w:val="none" w:sz="0" w:space="0" w:color="auto"/>
                <w:right w:val="none" w:sz="0" w:space="0" w:color="auto"/>
              </w:divBdr>
            </w:div>
          </w:divsChild>
        </w:div>
        <w:div w:id="914127649">
          <w:marLeft w:val="0"/>
          <w:marRight w:val="0"/>
          <w:marTop w:val="0"/>
          <w:marBottom w:val="0"/>
          <w:divBdr>
            <w:top w:val="none" w:sz="0" w:space="0" w:color="auto"/>
            <w:left w:val="none" w:sz="0" w:space="0" w:color="auto"/>
            <w:bottom w:val="none" w:sz="0" w:space="0" w:color="auto"/>
            <w:right w:val="none" w:sz="0" w:space="0" w:color="auto"/>
          </w:divBdr>
          <w:divsChild>
            <w:div w:id="603615021">
              <w:marLeft w:val="0"/>
              <w:marRight w:val="0"/>
              <w:marTop w:val="0"/>
              <w:marBottom w:val="0"/>
              <w:divBdr>
                <w:top w:val="none" w:sz="0" w:space="0" w:color="auto"/>
                <w:left w:val="none" w:sz="0" w:space="0" w:color="auto"/>
                <w:bottom w:val="none" w:sz="0" w:space="0" w:color="auto"/>
                <w:right w:val="none" w:sz="0" w:space="0" w:color="auto"/>
              </w:divBdr>
            </w:div>
          </w:divsChild>
        </w:div>
        <w:div w:id="965083149">
          <w:marLeft w:val="0"/>
          <w:marRight w:val="0"/>
          <w:marTop w:val="0"/>
          <w:marBottom w:val="0"/>
          <w:divBdr>
            <w:top w:val="none" w:sz="0" w:space="0" w:color="auto"/>
            <w:left w:val="none" w:sz="0" w:space="0" w:color="auto"/>
            <w:bottom w:val="none" w:sz="0" w:space="0" w:color="auto"/>
            <w:right w:val="none" w:sz="0" w:space="0" w:color="auto"/>
          </w:divBdr>
          <w:divsChild>
            <w:div w:id="448866004">
              <w:marLeft w:val="0"/>
              <w:marRight w:val="0"/>
              <w:marTop w:val="0"/>
              <w:marBottom w:val="0"/>
              <w:divBdr>
                <w:top w:val="none" w:sz="0" w:space="0" w:color="auto"/>
                <w:left w:val="none" w:sz="0" w:space="0" w:color="auto"/>
                <w:bottom w:val="none" w:sz="0" w:space="0" w:color="auto"/>
                <w:right w:val="none" w:sz="0" w:space="0" w:color="auto"/>
              </w:divBdr>
            </w:div>
          </w:divsChild>
        </w:div>
        <w:div w:id="1004012371">
          <w:marLeft w:val="0"/>
          <w:marRight w:val="0"/>
          <w:marTop w:val="0"/>
          <w:marBottom w:val="0"/>
          <w:divBdr>
            <w:top w:val="none" w:sz="0" w:space="0" w:color="auto"/>
            <w:left w:val="none" w:sz="0" w:space="0" w:color="auto"/>
            <w:bottom w:val="none" w:sz="0" w:space="0" w:color="auto"/>
            <w:right w:val="none" w:sz="0" w:space="0" w:color="auto"/>
          </w:divBdr>
          <w:divsChild>
            <w:div w:id="319965190">
              <w:marLeft w:val="0"/>
              <w:marRight w:val="0"/>
              <w:marTop w:val="0"/>
              <w:marBottom w:val="0"/>
              <w:divBdr>
                <w:top w:val="none" w:sz="0" w:space="0" w:color="auto"/>
                <w:left w:val="none" w:sz="0" w:space="0" w:color="auto"/>
                <w:bottom w:val="none" w:sz="0" w:space="0" w:color="auto"/>
                <w:right w:val="none" w:sz="0" w:space="0" w:color="auto"/>
              </w:divBdr>
            </w:div>
          </w:divsChild>
        </w:div>
        <w:div w:id="1060981545">
          <w:marLeft w:val="0"/>
          <w:marRight w:val="0"/>
          <w:marTop w:val="0"/>
          <w:marBottom w:val="0"/>
          <w:divBdr>
            <w:top w:val="none" w:sz="0" w:space="0" w:color="auto"/>
            <w:left w:val="none" w:sz="0" w:space="0" w:color="auto"/>
            <w:bottom w:val="none" w:sz="0" w:space="0" w:color="auto"/>
            <w:right w:val="none" w:sz="0" w:space="0" w:color="auto"/>
          </w:divBdr>
          <w:divsChild>
            <w:div w:id="901601248">
              <w:marLeft w:val="0"/>
              <w:marRight w:val="0"/>
              <w:marTop w:val="0"/>
              <w:marBottom w:val="0"/>
              <w:divBdr>
                <w:top w:val="none" w:sz="0" w:space="0" w:color="auto"/>
                <w:left w:val="none" w:sz="0" w:space="0" w:color="auto"/>
                <w:bottom w:val="none" w:sz="0" w:space="0" w:color="auto"/>
                <w:right w:val="none" w:sz="0" w:space="0" w:color="auto"/>
              </w:divBdr>
            </w:div>
          </w:divsChild>
        </w:div>
        <w:div w:id="1073357923">
          <w:marLeft w:val="0"/>
          <w:marRight w:val="0"/>
          <w:marTop w:val="0"/>
          <w:marBottom w:val="0"/>
          <w:divBdr>
            <w:top w:val="none" w:sz="0" w:space="0" w:color="auto"/>
            <w:left w:val="none" w:sz="0" w:space="0" w:color="auto"/>
            <w:bottom w:val="none" w:sz="0" w:space="0" w:color="auto"/>
            <w:right w:val="none" w:sz="0" w:space="0" w:color="auto"/>
          </w:divBdr>
          <w:divsChild>
            <w:div w:id="1216502488">
              <w:marLeft w:val="0"/>
              <w:marRight w:val="0"/>
              <w:marTop w:val="0"/>
              <w:marBottom w:val="0"/>
              <w:divBdr>
                <w:top w:val="none" w:sz="0" w:space="0" w:color="auto"/>
                <w:left w:val="none" w:sz="0" w:space="0" w:color="auto"/>
                <w:bottom w:val="none" w:sz="0" w:space="0" w:color="auto"/>
                <w:right w:val="none" w:sz="0" w:space="0" w:color="auto"/>
              </w:divBdr>
            </w:div>
          </w:divsChild>
        </w:div>
        <w:div w:id="1184055471">
          <w:marLeft w:val="0"/>
          <w:marRight w:val="0"/>
          <w:marTop w:val="0"/>
          <w:marBottom w:val="0"/>
          <w:divBdr>
            <w:top w:val="none" w:sz="0" w:space="0" w:color="auto"/>
            <w:left w:val="none" w:sz="0" w:space="0" w:color="auto"/>
            <w:bottom w:val="none" w:sz="0" w:space="0" w:color="auto"/>
            <w:right w:val="none" w:sz="0" w:space="0" w:color="auto"/>
          </w:divBdr>
          <w:divsChild>
            <w:div w:id="1355569427">
              <w:marLeft w:val="0"/>
              <w:marRight w:val="0"/>
              <w:marTop w:val="0"/>
              <w:marBottom w:val="0"/>
              <w:divBdr>
                <w:top w:val="none" w:sz="0" w:space="0" w:color="auto"/>
                <w:left w:val="none" w:sz="0" w:space="0" w:color="auto"/>
                <w:bottom w:val="none" w:sz="0" w:space="0" w:color="auto"/>
                <w:right w:val="none" w:sz="0" w:space="0" w:color="auto"/>
              </w:divBdr>
            </w:div>
          </w:divsChild>
        </w:div>
        <w:div w:id="1193807547">
          <w:marLeft w:val="0"/>
          <w:marRight w:val="0"/>
          <w:marTop w:val="0"/>
          <w:marBottom w:val="0"/>
          <w:divBdr>
            <w:top w:val="none" w:sz="0" w:space="0" w:color="auto"/>
            <w:left w:val="none" w:sz="0" w:space="0" w:color="auto"/>
            <w:bottom w:val="none" w:sz="0" w:space="0" w:color="auto"/>
            <w:right w:val="none" w:sz="0" w:space="0" w:color="auto"/>
          </w:divBdr>
          <w:divsChild>
            <w:div w:id="776488616">
              <w:marLeft w:val="0"/>
              <w:marRight w:val="0"/>
              <w:marTop w:val="0"/>
              <w:marBottom w:val="0"/>
              <w:divBdr>
                <w:top w:val="none" w:sz="0" w:space="0" w:color="auto"/>
                <w:left w:val="none" w:sz="0" w:space="0" w:color="auto"/>
                <w:bottom w:val="none" w:sz="0" w:space="0" w:color="auto"/>
                <w:right w:val="none" w:sz="0" w:space="0" w:color="auto"/>
              </w:divBdr>
            </w:div>
          </w:divsChild>
        </w:div>
        <w:div w:id="1194614029">
          <w:marLeft w:val="0"/>
          <w:marRight w:val="0"/>
          <w:marTop w:val="0"/>
          <w:marBottom w:val="0"/>
          <w:divBdr>
            <w:top w:val="none" w:sz="0" w:space="0" w:color="auto"/>
            <w:left w:val="none" w:sz="0" w:space="0" w:color="auto"/>
            <w:bottom w:val="none" w:sz="0" w:space="0" w:color="auto"/>
            <w:right w:val="none" w:sz="0" w:space="0" w:color="auto"/>
          </w:divBdr>
          <w:divsChild>
            <w:div w:id="2055537669">
              <w:marLeft w:val="0"/>
              <w:marRight w:val="0"/>
              <w:marTop w:val="0"/>
              <w:marBottom w:val="0"/>
              <w:divBdr>
                <w:top w:val="none" w:sz="0" w:space="0" w:color="auto"/>
                <w:left w:val="none" w:sz="0" w:space="0" w:color="auto"/>
                <w:bottom w:val="none" w:sz="0" w:space="0" w:color="auto"/>
                <w:right w:val="none" w:sz="0" w:space="0" w:color="auto"/>
              </w:divBdr>
            </w:div>
          </w:divsChild>
        </w:div>
        <w:div w:id="1199508411">
          <w:marLeft w:val="0"/>
          <w:marRight w:val="0"/>
          <w:marTop w:val="0"/>
          <w:marBottom w:val="0"/>
          <w:divBdr>
            <w:top w:val="none" w:sz="0" w:space="0" w:color="auto"/>
            <w:left w:val="none" w:sz="0" w:space="0" w:color="auto"/>
            <w:bottom w:val="none" w:sz="0" w:space="0" w:color="auto"/>
            <w:right w:val="none" w:sz="0" w:space="0" w:color="auto"/>
          </w:divBdr>
          <w:divsChild>
            <w:div w:id="1840777182">
              <w:marLeft w:val="0"/>
              <w:marRight w:val="0"/>
              <w:marTop w:val="0"/>
              <w:marBottom w:val="0"/>
              <w:divBdr>
                <w:top w:val="none" w:sz="0" w:space="0" w:color="auto"/>
                <w:left w:val="none" w:sz="0" w:space="0" w:color="auto"/>
                <w:bottom w:val="none" w:sz="0" w:space="0" w:color="auto"/>
                <w:right w:val="none" w:sz="0" w:space="0" w:color="auto"/>
              </w:divBdr>
            </w:div>
          </w:divsChild>
        </w:div>
        <w:div w:id="1199927695">
          <w:marLeft w:val="0"/>
          <w:marRight w:val="0"/>
          <w:marTop w:val="0"/>
          <w:marBottom w:val="0"/>
          <w:divBdr>
            <w:top w:val="none" w:sz="0" w:space="0" w:color="auto"/>
            <w:left w:val="none" w:sz="0" w:space="0" w:color="auto"/>
            <w:bottom w:val="none" w:sz="0" w:space="0" w:color="auto"/>
            <w:right w:val="none" w:sz="0" w:space="0" w:color="auto"/>
          </w:divBdr>
          <w:divsChild>
            <w:div w:id="1935674180">
              <w:marLeft w:val="0"/>
              <w:marRight w:val="0"/>
              <w:marTop w:val="0"/>
              <w:marBottom w:val="0"/>
              <w:divBdr>
                <w:top w:val="none" w:sz="0" w:space="0" w:color="auto"/>
                <w:left w:val="none" w:sz="0" w:space="0" w:color="auto"/>
                <w:bottom w:val="none" w:sz="0" w:space="0" w:color="auto"/>
                <w:right w:val="none" w:sz="0" w:space="0" w:color="auto"/>
              </w:divBdr>
            </w:div>
          </w:divsChild>
        </w:div>
        <w:div w:id="1230968053">
          <w:marLeft w:val="0"/>
          <w:marRight w:val="0"/>
          <w:marTop w:val="0"/>
          <w:marBottom w:val="0"/>
          <w:divBdr>
            <w:top w:val="none" w:sz="0" w:space="0" w:color="auto"/>
            <w:left w:val="none" w:sz="0" w:space="0" w:color="auto"/>
            <w:bottom w:val="none" w:sz="0" w:space="0" w:color="auto"/>
            <w:right w:val="none" w:sz="0" w:space="0" w:color="auto"/>
          </w:divBdr>
          <w:divsChild>
            <w:div w:id="349914275">
              <w:marLeft w:val="0"/>
              <w:marRight w:val="0"/>
              <w:marTop w:val="0"/>
              <w:marBottom w:val="0"/>
              <w:divBdr>
                <w:top w:val="none" w:sz="0" w:space="0" w:color="auto"/>
                <w:left w:val="none" w:sz="0" w:space="0" w:color="auto"/>
                <w:bottom w:val="none" w:sz="0" w:space="0" w:color="auto"/>
                <w:right w:val="none" w:sz="0" w:space="0" w:color="auto"/>
              </w:divBdr>
            </w:div>
          </w:divsChild>
        </w:div>
        <w:div w:id="1256208435">
          <w:marLeft w:val="0"/>
          <w:marRight w:val="0"/>
          <w:marTop w:val="0"/>
          <w:marBottom w:val="0"/>
          <w:divBdr>
            <w:top w:val="none" w:sz="0" w:space="0" w:color="auto"/>
            <w:left w:val="none" w:sz="0" w:space="0" w:color="auto"/>
            <w:bottom w:val="none" w:sz="0" w:space="0" w:color="auto"/>
            <w:right w:val="none" w:sz="0" w:space="0" w:color="auto"/>
          </w:divBdr>
          <w:divsChild>
            <w:div w:id="2111003016">
              <w:marLeft w:val="0"/>
              <w:marRight w:val="0"/>
              <w:marTop w:val="0"/>
              <w:marBottom w:val="0"/>
              <w:divBdr>
                <w:top w:val="none" w:sz="0" w:space="0" w:color="auto"/>
                <w:left w:val="none" w:sz="0" w:space="0" w:color="auto"/>
                <w:bottom w:val="none" w:sz="0" w:space="0" w:color="auto"/>
                <w:right w:val="none" w:sz="0" w:space="0" w:color="auto"/>
              </w:divBdr>
            </w:div>
          </w:divsChild>
        </w:div>
        <w:div w:id="1269697183">
          <w:marLeft w:val="0"/>
          <w:marRight w:val="0"/>
          <w:marTop w:val="0"/>
          <w:marBottom w:val="0"/>
          <w:divBdr>
            <w:top w:val="none" w:sz="0" w:space="0" w:color="auto"/>
            <w:left w:val="none" w:sz="0" w:space="0" w:color="auto"/>
            <w:bottom w:val="none" w:sz="0" w:space="0" w:color="auto"/>
            <w:right w:val="none" w:sz="0" w:space="0" w:color="auto"/>
          </w:divBdr>
          <w:divsChild>
            <w:div w:id="441652294">
              <w:marLeft w:val="0"/>
              <w:marRight w:val="0"/>
              <w:marTop w:val="0"/>
              <w:marBottom w:val="0"/>
              <w:divBdr>
                <w:top w:val="none" w:sz="0" w:space="0" w:color="auto"/>
                <w:left w:val="none" w:sz="0" w:space="0" w:color="auto"/>
                <w:bottom w:val="none" w:sz="0" w:space="0" w:color="auto"/>
                <w:right w:val="none" w:sz="0" w:space="0" w:color="auto"/>
              </w:divBdr>
            </w:div>
          </w:divsChild>
        </w:div>
        <w:div w:id="1296834957">
          <w:marLeft w:val="0"/>
          <w:marRight w:val="0"/>
          <w:marTop w:val="0"/>
          <w:marBottom w:val="0"/>
          <w:divBdr>
            <w:top w:val="none" w:sz="0" w:space="0" w:color="auto"/>
            <w:left w:val="none" w:sz="0" w:space="0" w:color="auto"/>
            <w:bottom w:val="none" w:sz="0" w:space="0" w:color="auto"/>
            <w:right w:val="none" w:sz="0" w:space="0" w:color="auto"/>
          </w:divBdr>
          <w:divsChild>
            <w:div w:id="196890595">
              <w:marLeft w:val="0"/>
              <w:marRight w:val="0"/>
              <w:marTop w:val="0"/>
              <w:marBottom w:val="0"/>
              <w:divBdr>
                <w:top w:val="none" w:sz="0" w:space="0" w:color="auto"/>
                <w:left w:val="none" w:sz="0" w:space="0" w:color="auto"/>
                <w:bottom w:val="none" w:sz="0" w:space="0" w:color="auto"/>
                <w:right w:val="none" w:sz="0" w:space="0" w:color="auto"/>
              </w:divBdr>
            </w:div>
          </w:divsChild>
        </w:div>
        <w:div w:id="1305617538">
          <w:marLeft w:val="0"/>
          <w:marRight w:val="0"/>
          <w:marTop w:val="0"/>
          <w:marBottom w:val="0"/>
          <w:divBdr>
            <w:top w:val="none" w:sz="0" w:space="0" w:color="auto"/>
            <w:left w:val="none" w:sz="0" w:space="0" w:color="auto"/>
            <w:bottom w:val="none" w:sz="0" w:space="0" w:color="auto"/>
            <w:right w:val="none" w:sz="0" w:space="0" w:color="auto"/>
          </w:divBdr>
          <w:divsChild>
            <w:div w:id="152377741">
              <w:marLeft w:val="0"/>
              <w:marRight w:val="0"/>
              <w:marTop w:val="0"/>
              <w:marBottom w:val="0"/>
              <w:divBdr>
                <w:top w:val="none" w:sz="0" w:space="0" w:color="auto"/>
                <w:left w:val="none" w:sz="0" w:space="0" w:color="auto"/>
                <w:bottom w:val="none" w:sz="0" w:space="0" w:color="auto"/>
                <w:right w:val="none" w:sz="0" w:space="0" w:color="auto"/>
              </w:divBdr>
            </w:div>
          </w:divsChild>
        </w:div>
        <w:div w:id="1335255410">
          <w:marLeft w:val="0"/>
          <w:marRight w:val="0"/>
          <w:marTop w:val="0"/>
          <w:marBottom w:val="0"/>
          <w:divBdr>
            <w:top w:val="none" w:sz="0" w:space="0" w:color="auto"/>
            <w:left w:val="none" w:sz="0" w:space="0" w:color="auto"/>
            <w:bottom w:val="none" w:sz="0" w:space="0" w:color="auto"/>
            <w:right w:val="none" w:sz="0" w:space="0" w:color="auto"/>
          </w:divBdr>
          <w:divsChild>
            <w:div w:id="312835743">
              <w:marLeft w:val="0"/>
              <w:marRight w:val="0"/>
              <w:marTop w:val="0"/>
              <w:marBottom w:val="0"/>
              <w:divBdr>
                <w:top w:val="none" w:sz="0" w:space="0" w:color="auto"/>
                <w:left w:val="none" w:sz="0" w:space="0" w:color="auto"/>
                <w:bottom w:val="none" w:sz="0" w:space="0" w:color="auto"/>
                <w:right w:val="none" w:sz="0" w:space="0" w:color="auto"/>
              </w:divBdr>
            </w:div>
          </w:divsChild>
        </w:div>
        <w:div w:id="1369186491">
          <w:marLeft w:val="0"/>
          <w:marRight w:val="0"/>
          <w:marTop w:val="0"/>
          <w:marBottom w:val="0"/>
          <w:divBdr>
            <w:top w:val="none" w:sz="0" w:space="0" w:color="auto"/>
            <w:left w:val="none" w:sz="0" w:space="0" w:color="auto"/>
            <w:bottom w:val="none" w:sz="0" w:space="0" w:color="auto"/>
            <w:right w:val="none" w:sz="0" w:space="0" w:color="auto"/>
          </w:divBdr>
          <w:divsChild>
            <w:div w:id="10879021">
              <w:marLeft w:val="0"/>
              <w:marRight w:val="0"/>
              <w:marTop w:val="0"/>
              <w:marBottom w:val="0"/>
              <w:divBdr>
                <w:top w:val="none" w:sz="0" w:space="0" w:color="auto"/>
                <w:left w:val="none" w:sz="0" w:space="0" w:color="auto"/>
                <w:bottom w:val="none" w:sz="0" w:space="0" w:color="auto"/>
                <w:right w:val="none" w:sz="0" w:space="0" w:color="auto"/>
              </w:divBdr>
            </w:div>
          </w:divsChild>
        </w:div>
        <w:div w:id="1403872435">
          <w:marLeft w:val="0"/>
          <w:marRight w:val="0"/>
          <w:marTop w:val="0"/>
          <w:marBottom w:val="0"/>
          <w:divBdr>
            <w:top w:val="none" w:sz="0" w:space="0" w:color="auto"/>
            <w:left w:val="none" w:sz="0" w:space="0" w:color="auto"/>
            <w:bottom w:val="none" w:sz="0" w:space="0" w:color="auto"/>
            <w:right w:val="none" w:sz="0" w:space="0" w:color="auto"/>
          </w:divBdr>
          <w:divsChild>
            <w:div w:id="1286157414">
              <w:marLeft w:val="0"/>
              <w:marRight w:val="0"/>
              <w:marTop w:val="0"/>
              <w:marBottom w:val="0"/>
              <w:divBdr>
                <w:top w:val="none" w:sz="0" w:space="0" w:color="auto"/>
                <w:left w:val="none" w:sz="0" w:space="0" w:color="auto"/>
                <w:bottom w:val="none" w:sz="0" w:space="0" w:color="auto"/>
                <w:right w:val="none" w:sz="0" w:space="0" w:color="auto"/>
              </w:divBdr>
            </w:div>
          </w:divsChild>
        </w:div>
        <w:div w:id="1412044406">
          <w:marLeft w:val="0"/>
          <w:marRight w:val="0"/>
          <w:marTop w:val="0"/>
          <w:marBottom w:val="0"/>
          <w:divBdr>
            <w:top w:val="none" w:sz="0" w:space="0" w:color="auto"/>
            <w:left w:val="none" w:sz="0" w:space="0" w:color="auto"/>
            <w:bottom w:val="none" w:sz="0" w:space="0" w:color="auto"/>
            <w:right w:val="none" w:sz="0" w:space="0" w:color="auto"/>
          </w:divBdr>
          <w:divsChild>
            <w:div w:id="1894609957">
              <w:marLeft w:val="0"/>
              <w:marRight w:val="0"/>
              <w:marTop w:val="0"/>
              <w:marBottom w:val="0"/>
              <w:divBdr>
                <w:top w:val="none" w:sz="0" w:space="0" w:color="auto"/>
                <w:left w:val="none" w:sz="0" w:space="0" w:color="auto"/>
                <w:bottom w:val="none" w:sz="0" w:space="0" w:color="auto"/>
                <w:right w:val="none" w:sz="0" w:space="0" w:color="auto"/>
              </w:divBdr>
            </w:div>
          </w:divsChild>
        </w:div>
        <w:div w:id="1443761301">
          <w:marLeft w:val="0"/>
          <w:marRight w:val="0"/>
          <w:marTop w:val="0"/>
          <w:marBottom w:val="0"/>
          <w:divBdr>
            <w:top w:val="none" w:sz="0" w:space="0" w:color="auto"/>
            <w:left w:val="none" w:sz="0" w:space="0" w:color="auto"/>
            <w:bottom w:val="none" w:sz="0" w:space="0" w:color="auto"/>
            <w:right w:val="none" w:sz="0" w:space="0" w:color="auto"/>
          </w:divBdr>
          <w:divsChild>
            <w:div w:id="294524808">
              <w:marLeft w:val="0"/>
              <w:marRight w:val="0"/>
              <w:marTop w:val="0"/>
              <w:marBottom w:val="0"/>
              <w:divBdr>
                <w:top w:val="none" w:sz="0" w:space="0" w:color="auto"/>
                <w:left w:val="none" w:sz="0" w:space="0" w:color="auto"/>
                <w:bottom w:val="none" w:sz="0" w:space="0" w:color="auto"/>
                <w:right w:val="none" w:sz="0" w:space="0" w:color="auto"/>
              </w:divBdr>
            </w:div>
          </w:divsChild>
        </w:div>
        <w:div w:id="1465393563">
          <w:marLeft w:val="0"/>
          <w:marRight w:val="0"/>
          <w:marTop w:val="0"/>
          <w:marBottom w:val="0"/>
          <w:divBdr>
            <w:top w:val="none" w:sz="0" w:space="0" w:color="auto"/>
            <w:left w:val="none" w:sz="0" w:space="0" w:color="auto"/>
            <w:bottom w:val="none" w:sz="0" w:space="0" w:color="auto"/>
            <w:right w:val="none" w:sz="0" w:space="0" w:color="auto"/>
          </w:divBdr>
          <w:divsChild>
            <w:div w:id="1799638314">
              <w:marLeft w:val="0"/>
              <w:marRight w:val="0"/>
              <w:marTop w:val="0"/>
              <w:marBottom w:val="0"/>
              <w:divBdr>
                <w:top w:val="none" w:sz="0" w:space="0" w:color="auto"/>
                <w:left w:val="none" w:sz="0" w:space="0" w:color="auto"/>
                <w:bottom w:val="none" w:sz="0" w:space="0" w:color="auto"/>
                <w:right w:val="none" w:sz="0" w:space="0" w:color="auto"/>
              </w:divBdr>
            </w:div>
          </w:divsChild>
        </w:div>
        <w:div w:id="1469083614">
          <w:marLeft w:val="0"/>
          <w:marRight w:val="0"/>
          <w:marTop w:val="0"/>
          <w:marBottom w:val="0"/>
          <w:divBdr>
            <w:top w:val="none" w:sz="0" w:space="0" w:color="auto"/>
            <w:left w:val="none" w:sz="0" w:space="0" w:color="auto"/>
            <w:bottom w:val="none" w:sz="0" w:space="0" w:color="auto"/>
            <w:right w:val="none" w:sz="0" w:space="0" w:color="auto"/>
          </w:divBdr>
          <w:divsChild>
            <w:div w:id="500892885">
              <w:marLeft w:val="0"/>
              <w:marRight w:val="0"/>
              <w:marTop w:val="0"/>
              <w:marBottom w:val="0"/>
              <w:divBdr>
                <w:top w:val="none" w:sz="0" w:space="0" w:color="auto"/>
                <w:left w:val="none" w:sz="0" w:space="0" w:color="auto"/>
                <w:bottom w:val="none" w:sz="0" w:space="0" w:color="auto"/>
                <w:right w:val="none" w:sz="0" w:space="0" w:color="auto"/>
              </w:divBdr>
            </w:div>
          </w:divsChild>
        </w:div>
        <w:div w:id="1471096517">
          <w:marLeft w:val="0"/>
          <w:marRight w:val="0"/>
          <w:marTop w:val="0"/>
          <w:marBottom w:val="0"/>
          <w:divBdr>
            <w:top w:val="none" w:sz="0" w:space="0" w:color="auto"/>
            <w:left w:val="none" w:sz="0" w:space="0" w:color="auto"/>
            <w:bottom w:val="none" w:sz="0" w:space="0" w:color="auto"/>
            <w:right w:val="none" w:sz="0" w:space="0" w:color="auto"/>
          </w:divBdr>
          <w:divsChild>
            <w:div w:id="1725519743">
              <w:marLeft w:val="0"/>
              <w:marRight w:val="0"/>
              <w:marTop w:val="0"/>
              <w:marBottom w:val="0"/>
              <w:divBdr>
                <w:top w:val="none" w:sz="0" w:space="0" w:color="auto"/>
                <w:left w:val="none" w:sz="0" w:space="0" w:color="auto"/>
                <w:bottom w:val="none" w:sz="0" w:space="0" w:color="auto"/>
                <w:right w:val="none" w:sz="0" w:space="0" w:color="auto"/>
              </w:divBdr>
            </w:div>
          </w:divsChild>
        </w:div>
        <w:div w:id="1471823278">
          <w:marLeft w:val="0"/>
          <w:marRight w:val="0"/>
          <w:marTop w:val="0"/>
          <w:marBottom w:val="0"/>
          <w:divBdr>
            <w:top w:val="none" w:sz="0" w:space="0" w:color="auto"/>
            <w:left w:val="none" w:sz="0" w:space="0" w:color="auto"/>
            <w:bottom w:val="none" w:sz="0" w:space="0" w:color="auto"/>
            <w:right w:val="none" w:sz="0" w:space="0" w:color="auto"/>
          </w:divBdr>
          <w:divsChild>
            <w:div w:id="1330910969">
              <w:marLeft w:val="0"/>
              <w:marRight w:val="0"/>
              <w:marTop w:val="0"/>
              <w:marBottom w:val="0"/>
              <w:divBdr>
                <w:top w:val="none" w:sz="0" w:space="0" w:color="auto"/>
                <w:left w:val="none" w:sz="0" w:space="0" w:color="auto"/>
                <w:bottom w:val="none" w:sz="0" w:space="0" w:color="auto"/>
                <w:right w:val="none" w:sz="0" w:space="0" w:color="auto"/>
              </w:divBdr>
            </w:div>
          </w:divsChild>
        </w:div>
        <w:div w:id="1481997385">
          <w:marLeft w:val="0"/>
          <w:marRight w:val="0"/>
          <w:marTop w:val="0"/>
          <w:marBottom w:val="0"/>
          <w:divBdr>
            <w:top w:val="none" w:sz="0" w:space="0" w:color="auto"/>
            <w:left w:val="none" w:sz="0" w:space="0" w:color="auto"/>
            <w:bottom w:val="none" w:sz="0" w:space="0" w:color="auto"/>
            <w:right w:val="none" w:sz="0" w:space="0" w:color="auto"/>
          </w:divBdr>
          <w:divsChild>
            <w:div w:id="719331719">
              <w:marLeft w:val="0"/>
              <w:marRight w:val="0"/>
              <w:marTop w:val="0"/>
              <w:marBottom w:val="0"/>
              <w:divBdr>
                <w:top w:val="none" w:sz="0" w:space="0" w:color="auto"/>
                <w:left w:val="none" w:sz="0" w:space="0" w:color="auto"/>
                <w:bottom w:val="none" w:sz="0" w:space="0" w:color="auto"/>
                <w:right w:val="none" w:sz="0" w:space="0" w:color="auto"/>
              </w:divBdr>
            </w:div>
          </w:divsChild>
        </w:div>
        <w:div w:id="1501653302">
          <w:marLeft w:val="0"/>
          <w:marRight w:val="0"/>
          <w:marTop w:val="0"/>
          <w:marBottom w:val="0"/>
          <w:divBdr>
            <w:top w:val="none" w:sz="0" w:space="0" w:color="auto"/>
            <w:left w:val="none" w:sz="0" w:space="0" w:color="auto"/>
            <w:bottom w:val="none" w:sz="0" w:space="0" w:color="auto"/>
            <w:right w:val="none" w:sz="0" w:space="0" w:color="auto"/>
          </w:divBdr>
          <w:divsChild>
            <w:div w:id="115301191">
              <w:marLeft w:val="0"/>
              <w:marRight w:val="0"/>
              <w:marTop w:val="0"/>
              <w:marBottom w:val="0"/>
              <w:divBdr>
                <w:top w:val="none" w:sz="0" w:space="0" w:color="auto"/>
                <w:left w:val="none" w:sz="0" w:space="0" w:color="auto"/>
                <w:bottom w:val="none" w:sz="0" w:space="0" w:color="auto"/>
                <w:right w:val="none" w:sz="0" w:space="0" w:color="auto"/>
              </w:divBdr>
            </w:div>
          </w:divsChild>
        </w:div>
        <w:div w:id="1510869198">
          <w:marLeft w:val="0"/>
          <w:marRight w:val="0"/>
          <w:marTop w:val="0"/>
          <w:marBottom w:val="0"/>
          <w:divBdr>
            <w:top w:val="none" w:sz="0" w:space="0" w:color="auto"/>
            <w:left w:val="none" w:sz="0" w:space="0" w:color="auto"/>
            <w:bottom w:val="none" w:sz="0" w:space="0" w:color="auto"/>
            <w:right w:val="none" w:sz="0" w:space="0" w:color="auto"/>
          </w:divBdr>
          <w:divsChild>
            <w:div w:id="681398163">
              <w:marLeft w:val="0"/>
              <w:marRight w:val="0"/>
              <w:marTop w:val="0"/>
              <w:marBottom w:val="0"/>
              <w:divBdr>
                <w:top w:val="none" w:sz="0" w:space="0" w:color="auto"/>
                <w:left w:val="none" w:sz="0" w:space="0" w:color="auto"/>
                <w:bottom w:val="none" w:sz="0" w:space="0" w:color="auto"/>
                <w:right w:val="none" w:sz="0" w:space="0" w:color="auto"/>
              </w:divBdr>
            </w:div>
          </w:divsChild>
        </w:div>
        <w:div w:id="1533113240">
          <w:marLeft w:val="0"/>
          <w:marRight w:val="0"/>
          <w:marTop w:val="0"/>
          <w:marBottom w:val="0"/>
          <w:divBdr>
            <w:top w:val="none" w:sz="0" w:space="0" w:color="auto"/>
            <w:left w:val="none" w:sz="0" w:space="0" w:color="auto"/>
            <w:bottom w:val="none" w:sz="0" w:space="0" w:color="auto"/>
            <w:right w:val="none" w:sz="0" w:space="0" w:color="auto"/>
          </w:divBdr>
          <w:divsChild>
            <w:div w:id="2103144592">
              <w:marLeft w:val="0"/>
              <w:marRight w:val="0"/>
              <w:marTop w:val="0"/>
              <w:marBottom w:val="0"/>
              <w:divBdr>
                <w:top w:val="none" w:sz="0" w:space="0" w:color="auto"/>
                <w:left w:val="none" w:sz="0" w:space="0" w:color="auto"/>
                <w:bottom w:val="none" w:sz="0" w:space="0" w:color="auto"/>
                <w:right w:val="none" w:sz="0" w:space="0" w:color="auto"/>
              </w:divBdr>
            </w:div>
          </w:divsChild>
        </w:div>
        <w:div w:id="1563327439">
          <w:marLeft w:val="0"/>
          <w:marRight w:val="0"/>
          <w:marTop w:val="0"/>
          <w:marBottom w:val="0"/>
          <w:divBdr>
            <w:top w:val="none" w:sz="0" w:space="0" w:color="auto"/>
            <w:left w:val="none" w:sz="0" w:space="0" w:color="auto"/>
            <w:bottom w:val="none" w:sz="0" w:space="0" w:color="auto"/>
            <w:right w:val="none" w:sz="0" w:space="0" w:color="auto"/>
          </w:divBdr>
          <w:divsChild>
            <w:div w:id="1533227704">
              <w:marLeft w:val="0"/>
              <w:marRight w:val="0"/>
              <w:marTop w:val="0"/>
              <w:marBottom w:val="0"/>
              <w:divBdr>
                <w:top w:val="none" w:sz="0" w:space="0" w:color="auto"/>
                <w:left w:val="none" w:sz="0" w:space="0" w:color="auto"/>
                <w:bottom w:val="none" w:sz="0" w:space="0" w:color="auto"/>
                <w:right w:val="none" w:sz="0" w:space="0" w:color="auto"/>
              </w:divBdr>
            </w:div>
          </w:divsChild>
        </w:div>
        <w:div w:id="1603798347">
          <w:marLeft w:val="0"/>
          <w:marRight w:val="0"/>
          <w:marTop w:val="0"/>
          <w:marBottom w:val="0"/>
          <w:divBdr>
            <w:top w:val="none" w:sz="0" w:space="0" w:color="auto"/>
            <w:left w:val="none" w:sz="0" w:space="0" w:color="auto"/>
            <w:bottom w:val="none" w:sz="0" w:space="0" w:color="auto"/>
            <w:right w:val="none" w:sz="0" w:space="0" w:color="auto"/>
          </w:divBdr>
          <w:divsChild>
            <w:div w:id="749305554">
              <w:marLeft w:val="0"/>
              <w:marRight w:val="0"/>
              <w:marTop w:val="0"/>
              <w:marBottom w:val="0"/>
              <w:divBdr>
                <w:top w:val="none" w:sz="0" w:space="0" w:color="auto"/>
                <w:left w:val="none" w:sz="0" w:space="0" w:color="auto"/>
                <w:bottom w:val="none" w:sz="0" w:space="0" w:color="auto"/>
                <w:right w:val="none" w:sz="0" w:space="0" w:color="auto"/>
              </w:divBdr>
            </w:div>
          </w:divsChild>
        </w:div>
        <w:div w:id="1670255062">
          <w:marLeft w:val="0"/>
          <w:marRight w:val="0"/>
          <w:marTop w:val="0"/>
          <w:marBottom w:val="0"/>
          <w:divBdr>
            <w:top w:val="none" w:sz="0" w:space="0" w:color="auto"/>
            <w:left w:val="none" w:sz="0" w:space="0" w:color="auto"/>
            <w:bottom w:val="none" w:sz="0" w:space="0" w:color="auto"/>
            <w:right w:val="none" w:sz="0" w:space="0" w:color="auto"/>
          </w:divBdr>
          <w:divsChild>
            <w:div w:id="2062823974">
              <w:marLeft w:val="0"/>
              <w:marRight w:val="0"/>
              <w:marTop w:val="0"/>
              <w:marBottom w:val="0"/>
              <w:divBdr>
                <w:top w:val="none" w:sz="0" w:space="0" w:color="auto"/>
                <w:left w:val="none" w:sz="0" w:space="0" w:color="auto"/>
                <w:bottom w:val="none" w:sz="0" w:space="0" w:color="auto"/>
                <w:right w:val="none" w:sz="0" w:space="0" w:color="auto"/>
              </w:divBdr>
            </w:div>
          </w:divsChild>
        </w:div>
        <w:div w:id="1697274178">
          <w:marLeft w:val="0"/>
          <w:marRight w:val="0"/>
          <w:marTop w:val="0"/>
          <w:marBottom w:val="0"/>
          <w:divBdr>
            <w:top w:val="none" w:sz="0" w:space="0" w:color="auto"/>
            <w:left w:val="none" w:sz="0" w:space="0" w:color="auto"/>
            <w:bottom w:val="none" w:sz="0" w:space="0" w:color="auto"/>
            <w:right w:val="none" w:sz="0" w:space="0" w:color="auto"/>
          </w:divBdr>
          <w:divsChild>
            <w:div w:id="1045719487">
              <w:marLeft w:val="0"/>
              <w:marRight w:val="0"/>
              <w:marTop w:val="0"/>
              <w:marBottom w:val="0"/>
              <w:divBdr>
                <w:top w:val="none" w:sz="0" w:space="0" w:color="auto"/>
                <w:left w:val="none" w:sz="0" w:space="0" w:color="auto"/>
                <w:bottom w:val="none" w:sz="0" w:space="0" w:color="auto"/>
                <w:right w:val="none" w:sz="0" w:space="0" w:color="auto"/>
              </w:divBdr>
            </w:div>
          </w:divsChild>
        </w:div>
        <w:div w:id="1712850307">
          <w:marLeft w:val="0"/>
          <w:marRight w:val="0"/>
          <w:marTop w:val="0"/>
          <w:marBottom w:val="0"/>
          <w:divBdr>
            <w:top w:val="none" w:sz="0" w:space="0" w:color="auto"/>
            <w:left w:val="none" w:sz="0" w:space="0" w:color="auto"/>
            <w:bottom w:val="none" w:sz="0" w:space="0" w:color="auto"/>
            <w:right w:val="none" w:sz="0" w:space="0" w:color="auto"/>
          </w:divBdr>
          <w:divsChild>
            <w:div w:id="1085959258">
              <w:marLeft w:val="0"/>
              <w:marRight w:val="0"/>
              <w:marTop w:val="0"/>
              <w:marBottom w:val="0"/>
              <w:divBdr>
                <w:top w:val="none" w:sz="0" w:space="0" w:color="auto"/>
                <w:left w:val="none" w:sz="0" w:space="0" w:color="auto"/>
                <w:bottom w:val="none" w:sz="0" w:space="0" w:color="auto"/>
                <w:right w:val="none" w:sz="0" w:space="0" w:color="auto"/>
              </w:divBdr>
            </w:div>
          </w:divsChild>
        </w:div>
        <w:div w:id="1716466524">
          <w:marLeft w:val="0"/>
          <w:marRight w:val="0"/>
          <w:marTop w:val="0"/>
          <w:marBottom w:val="0"/>
          <w:divBdr>
            <w:top w:val="none" w:sz="0" w:space="0" w:color="auto"/>
            <w:left w:val="none" w:sz="0" w:space="0" w:color="auto"/>
            <w:bottom w:val="none" w:sz="0" w:space="0" w:color="auto"/>
            <w:right w:val="none" w:sz="0" w:space="0" w:color="auto"/>
          </w:divBdr>
          <w:divsChild>
            <w:div w:id="1983845537">
              <w:marLeft w:val="0"/>
              <w:marRight w:val="0"/>
              <w:marTop w:val="0"/>
              <w:marBottom w:val="0"/>
              <w:divBdr>
                <w:top w:val="none" w:sz="0" w:space="0" w:color="auto"/>
                <w:left w:val="none" w:sz="0" w:space="0" w:color="auto"/>
                <w:bottom w:val="none" w:sz="0" w:space="0" w:color="auto"/>
                <w:right w:val="none" w:sz="0" w:space="0" w:color="auto"/>
              </w:divBdr>
            </w:div>
          </w:divsChild>
        </w:div>
        <w:div w:id="1721632177">
          <w:marLeft w:val="0"/>
          <w:marRight w:val="0"/>
          <w:marTop w:val="0"/>
          <w:marBottom w:val="0"/>
          <w:divBdr>
            <w:top w:val="none" w:sz="0" w:space="0" w:color="auto"/>
            <w:left w:val="none" w:sz="0" w:space="0" w:color="auto"/>
            <w:bottom w:val="none" w:sz="0" w:space="0" w:color="auto"/>
            <w:right w:val="none" w:sz="0" w:space="0" w:color="auto"/>
          </w:divBdr>
          <w:divsChild>
            <w:div w:id="1679966365">
              <w:marLeft w:val="0"/>
              <w:marRight w:val="0"/>
              <w:marTop w:val="0"/>
              <w:marBottom w:val="0"/>
              <w:divBdr>
                <w:top w:val="none" w:sz="0" w:space="0" w:color="auto"/>
                <w:left w:val="none" w:sz="0" w:space="0" w:color="auto"/>
                <w:bottom w:val="none" w:sz="0" w:space="0" w:color="auto"/>
                <w:right w:val="none" w:sz="0" w:space="0" w:color="auto"/>
              </w:divBdr>
            </w:div>
          </w:divsChild>
        </w:div>
        <w:div w:id="1747527752">
          <w:marLeft w:val="0"/>
          <w:marRight w:val="0"/>
          <w:marTop w:val="0"/>
          <w:marBottom w:val="0"/>
          <w:divBdr>
            <w:top w:val="none" w:sz="0" w:space="0" w:color="auto"/>
            <w:left w:val="none" w:sz="0" w:space="0" w:color="auto"/>
            <w:bottom w:val="none" w:sz="0" w:space="0" w:color="auto"/>
            <w:right w:val="none" w:sz="0" w:space="0" w:color="auto"/>
          </w:divBdr>
          <w:divsChild>
            <w:div w:id="1706099615">
              <w:marLeft w:val="0"/>
              <w:marRight w:val="0"/>
              <w:marTop w:val="0"/>
              <w:marBottom w:val="0"/>
              <w:divBdr>
                <w:top w:val="none" w:sz="0" w:space="0" w:color="auto"/>
                <w:left w:val="none" w:sz="0" w:space="0" w:color="auto"/>
                <w:bottom w:val="none" w:sz="0" w:space="0" w:color="auto"/>
                <w:right w:val="none" w:sz="0" w:space="0" w:color="auto"/>
              </w:divBdr>
            </w:div>
          </w:divsChild>
        </w:div>
        <w:div w:id="1757634055">
          <w:marLeft w:val="0"/>
          <w:marRight w:val="0"/>
          <w:marTop w:val="0"/>
          <w:marBottom w:val="0"/>
          <w:divBdr>
            <w:top w:val="none" w:sz="0" w:space="0" w:color="auto"/>
            <w:left w:val="none" w:sz="0" w:space="0" w:color="auto"/>
            <w:bottom w:val="none" w:sz="0" w:space="0" w:color="auto"/>
            <w:right w:val="none" w:sz="0" w:space="0" w:color="auto"/>
          </w:divBdr>
          <w:divsChild>
            <w:div w:id="1211386131">
              <w:marLeft w:val="0"/>
              <w:marRight w:val="0"/>
              <w:marTop w:val="0"/>
              <w:marBottom w:val="0"/>
              <w:divBdr>
                <w:top w:val="none" w:sz="0" w:space="0" w:color="auto"/>
                <w:left w:val="none" w:sz="0" w:space="0" w:color="auto"/>
                <w:bottom w:val="none" w:sz="0" w:space="0" w:color="auto"/>
                <w:right w:val="none" w:sz="0" w:space="0" w:color="auto"/>
              </w:divBdr>
            </w:div>
          </w:divsChild>
        </w:div>
        <w:div w:id="1774934060">
          <w:marLeft w:val="0"/>
          <w:marRight w:val="0"/>
          <w:marTop w:val="0"/>
          <w:marBottom w:val="0"/>
          <w:divBdr>
            <w:top w:val="none" w:sz="0" w:space="0" w:color="auto"/>
            <w:left w:val="none" w:sz="0" w:space="0" w:color="auto"/>
            <w:bottom w:val="none" w:sz="0" w:space="0" w:color="auto"/>
            <w:right w:val="none" w:sz="0" w:space="0" w:color="auto"/>
          </w:divBdr>
          <w:divsChild>
            <w:div w:id="1403605594">
              <w:marLeft w:val="0"/>
              <w:marRight w:val="0"/>
              <w:marTop w:val="0"/>
              <w:marBottom w:val="0"/>
              <w:divBdr>
                <w:top w:val="none" w:sz="0" w:space="0" w:color="auto"/>
                <w:left w:val="none" w:sz="0" w:space="0" w:color="auto"/>
                <w:bottom w:val="none" w:sz="0" w:space="0" w:color="auto"/>
                <w:right w:val="none" w:sz="0" w:space="0" w:color="auto"/>
              </w:divBdr>
            </w:div>
          </w:divsChild>
        </w:div>
        <w:div w:id="1779564745">
          <w:marLeft w:val="0"/>
          <w:marRight w:val="0"/>
          <w:marTop w:val="0"/>
          <w:marBottom w:val="0"/>
          <w:divBdr>
            <w:top w:val="none" w:sz="0" w:space="0" w:color="auto"/>
            <w:left w:val="none" w:sz="0" w:space="0" w:color="auto"/>
            <w:bottom w:val="none" w:sz="0" w:space="0" w:color="auto"/>
            <w:right w:val="none" w:sz="0" w:space="0" w:color="auto"/>
          </w:divBdr>
          <w:divsChild>
            <w:div w:id="1758408129">
              <w:marLeft w:val="0"/>
              <w:marRight w:val="0"/>
              <w:marTop w:val="0"/>
              <w:marBottom w:val="0"/>
              <w:divBdr>
                <w:top w:val="none" w:sz="0" w:space="0" w:color="auto"/>
                <w:left w:val="none" w:sz="0" w:space="0" w:color="auto"/>
                <w:bottom w:val="none" w:sz="0" w:space="0" w:color="auto"/>
                <w:right w:val="none" w:sz="0" w:space="0" w:color="auto"/>
              </w:divBdr>
            </w:div>
          </w:divsChild>
        </w:div>
        <w:div w:id="1844318328">
          <w:marLeft w:val="0"/>
          <w:marRight w:val="0"/>
          <w:marTop w:val="0"/>
          <w:marBottom w:val="0"/>
          <w:divBdr>
            <w:top w:val="none" w:sz="0" w:space="0" w:color="auto"/>
            <w:left w:val="none" w:sz="0" w:space="0" w:color="auto"/>
            <w:bottom w:val="none" w:sz="0" w:space="0" w:color="auto"/>
            <w:right w:val="none" w:sz="0" w:space="0" w:color="auto"/>
          </w:divBdr>
          <w:divsChild>
            <w:div w:id="257564770">
              <w:marLeft w:val="0"/>
              <w:marRight w:val="0"/>
              <w:marTop w:val="0"/>
              <w:marBottom w:val="0"/>
              <w:divBdr>
                <w:top w:val="none" w:sz="0" w:space="0" w:color="auto"/>
                <w:left w:val="none" w:sz="0" w:space="0" w:color="auto"/>
                <w:bottom w:val="none" w:sz="0" w:space="0" w:color="auto"/>
                <w:right w:val="none" w:sz="0" w:space="0" w:color="auto"/>
              </w:divBdr>
            </w:div>
          </w:divsChild>
        </w:div>
        <w:div w:id="1873571532">
          <w:marLeft w:val="0"/>
          <w:marRight w:val="0"/>
          <w:marTop w:val="0"/>
          <w:marBottom w:val="0"/>
          <w:divBdr>
            <w:top w:val="none" w:sz="0" w:space="0" w:color="auto"/>
            <w:left w:val="none" w:sz="0" w:space="0" w:color="auto"/>
            <w:bottom w:val="none" w:sz="0" w:space="0" w:color="auto"/>
            <w:right w:val="none" w:sz="0" w:space="0" w:color="auto"/>
          </w:divBdr>
          <w:divsChild>
            <w:div w:id="168763774">
              <w:marLeft w:val="0"/>
              <w:marRight w:val="0"/>
              <w:marTop w:val="0"/>
              <w:marBottom w:val="0"/>
              <w:divBdr>
                <w:top w:val="none" w:sz="0" w:space="0" w:color="auto"/>
                <w:left w:val="none" w:sz="0" w:space="0" w:color="auto"/>
                <w:bottom w:val="none" w:sz="0" w:space="0" w:color="auto"/>
                <w:right w:val="none" w:sz="0" w:space="0" w:color="auto"/>
              </w:divBdr>
            </w:div>
          </w:divsChild>
        </w:div>
        <w:div w:id="1908418663">
          <w:marLeft w:val="0"/>
          <w:marRight w:val="0"/>
          <w:marTop w:val="0"/>
          <w:marBottom w:val="0"/>
          <w:divBdr>
            <w:top w:val="none" w:sz="0" w:space="0" w:color="auto"/>
            <w:left w:val="none" w:sz="0" w:space="0" w:color="auto"/>
            <w:bottom w:val="none" w:sz="0" w:space="0" w:color="auto"/>
            <w:right w:val="none" w:sz="0" w:space="0" w:color="auto"/>
          </w:divBdr>
          <w:divsChild>
            <w:div w:id="2049260621">
              <w:marLeft w:val="0"/>
              <w:marRight w:val="0"/>
              <w:marTop w:val="0"/>
              <w:marBottom w:val="0"/>
              <w:divBdr>
                <w:top w:val="none" w:sz="0" w:space="0" w:color="auto"/>
                <w:left w:val="none" w:sz="0" w:space="0" w:color="auto"/>
                <w:bottom w:val="none" w:sz="0" w:space="0" w:color="auto"/>
                <w:right w:val="none" w:sz="0" w:space="0" w:color="auto"/>
              </w:divBdr>
            </w:div>
          </w:divsChild>
        </w:div>
        <w:div w:id="1925261161">
          <w:marLeft w:val="0"/>
          <w:marRight w:val="0"/>
          <w:marTop w:val="0"/>
          <w:marBottom w:val="0"/>
          <w:divBdr>
            <w:top w:val="none" w:sz="0" w:space="0" w:color="auto"/>
            <w:left w:val="none" w:sz="0" w:space="0" w:color="auto"/>
            <w:bottom w:val="none" w:sz="0" w:space="0" w:color="auto"/>
            <w:right w:val="none" w:sz="0" w:space="0" w:color="auto"/>
          </w:divBdr>
          <w:divsChild>
            <w:div w:id="1748183506">
              <w:marLeft w:val="0"/>
              <w:marRight w:val="0"/>
              <w:marTop w:val="0"/>
              <w:marBottom w:val="0"/>
              <w:divBdr>
                <w:top w:val="none" w:sz="0" w:space="0" w:color="auto"/>
                <w:left w:val="none" w:sz="0" w:space="0" w:color="auto"/>
                <w:bottom w:val="none" w:sz="0" w:space="0" w:color="auto"/>
                <w:right w:val="none" w:sz="0" w:space="0" w:color="auto"/>
              </w:divBdr>
            </w:div>
          </w:divsChild>
        </w:div>
        <w:div w:id="1926762371">
          <w:marLeft w:val="0"/>
          <w:marRight w:val="0"/>
          <w:marTop w:val="0"/>
          <w:marBottom w:val="0"/>
          <w:divBdr>
            <w:top w:val="none" w:sz="0" w:space="0" w:color="auto"/>
            <w:left w:val="none" w:sz="0" w:space="0" w:color="auto"/>
            <w:bottom w:val="none" w:sz="0" w:space="0" w:color="auto"/>
            <w:right w:val="none" w:sz="0" w:space="0" w:color="auto"/>
          </w:divBdr>
          <w:divsChild>
            <w:div w:id="196891530">
              <w:marLeft w:val="0"/>
              <w:marRight w:val="0"/>
              <w:marTop w:val="0"/>
              <w:marBottom w:val="0"/>
              <w:divBdr>
                <w:top w:val="none" w:sz="0" w:space="0" w:color="auto"/>
                <w:left w:val="none" w:sz="0" w:space="0" w:color="auto"/>
                <w:bottom w:val="none" w:sz="0" w:space="0" w:color="auto"/>
                <w:right w:val="none" w:sz="0" w:space="0" w:color="auto"/>
              </w:divBdr>
            </w:div>
          </w:divsChild>
        </w:div>
        <w:div w:id="1935623885">
          <w:marLeft w:val="0"/>
          <w:marRight w:val="0"/>
          <w:marTop w:val="0"/>
          <w:marBottom w:val="0"/>
          <w:divBdr>
            <w:top w:val="none" w:sz="0" w:space="0" w:color="auto"/>
            <w:left w:val="none" w:sz="0" w:space="0" w:color="auto"/>
            <w:bottom w:val="none" w:sz="0" w:space="0" w:color="auto"/>
            <w:right w:val="none" w:sz="0" w:space="0" w:color="auto"/>
          </w:divBdr>
          <w:divsChild>
            <w:div w:id="1603687056">
              <w:marLeft w:val="0"/>
              <w:marRight w:val="0"/>
              <w:marTop w:val="0"/>
              <w:marBottom w:val="0"/>
              <w:divBdr>
                <w:top w:val="none" w:sz="0" w:space="0" w:color="auto"/>
                <w:left w:val="none" w:sz="0" w:space="0" w:color="auto"/>
                <w:bottom w:val="none" w:sz="0" w:space="0" w:color="auto"/>
                <w:right w:val="none" w:sz="0" w:space="0" w:color="auto"/>
              </w:divBdr>
            </w:div>
          </w:divsChild>
        </w:div>
        <w:div w:id="1995717443">
          <w:marLeft w:val="0"/>
          <w:marRight w:val="0"/>
          <w:marTop w:val="0"/>
          <w:marBottom w:val="0"/>
          <w:divBdr>
            <w:top w:val="none" w:sz="0" w:space="0" w:color="auto"/>
            <w:left w:val="none" w:sz="0" w:space="0" w:color="auto"/>
            <w:bottom w:val="none" w:sz="0" w:space="0" w:color="auto"/>
            <w:right w:val="none" w:sz="0" w:space="0" w:color="auto"/>
          </w:divBdr>
          <w:divsChild>
            <w:div w:id="41760058">
              <w:marLeft w:val="0"/>
              <w:marRight w:val="0"/>
              <w:marTop w:val="0"/>
              <w:marBottom w:val="0"/>
              <w:divBdr>
                <w:top w:val="none" w:sz="0" w:space="0" w:color="auto"/>
                <w:left w:val="none" w:sz="0" w:space="0" w:color="auto"/>
                <w:bottom w:val="none" w:sz="0" w:space="0" w:color="auto"/>
                <w:right w:val="none" w:sz="0" w:space="0" w:color="auto"/>
              </w:divBdr>
            </w:div>
          </w:divsChild>
        </w:div>
        <w:div w:id="2012482521">
          <w:marLeft w:val="0"/>
          <w:marRight w:val="0"/>
          <w:marTop w:val="0"/>
          <w:marBottom w:val="0"/>
          <w:divBdr>
            <w:top w:val="none" w:sz="0" w:space="0" w:color="auto"/>
            <w:left w:val="none" w:sz="0" w:space="0" w:color="auto"/>
            <w:bottom w:val="none" w:sz="0" w:space="0" w:color="auto"/>
            <w:right w:val="none" w:sz="0" w:space="0" w:color="auto"/>
          </w:divBdr>
          <w:divsChild>
            <w:div w:id="892231129">
              <w:marLeft w:val="0"/>
              <w:marRight w:val="0"/>
              <w:marTop w:val="0"/>
              <w:marBottom w:val="0"/>
              <w:divBdr>
                <w:top w:val="none" w:sz="0" w:space="0" w:color="auto"/>
                <w:left w:val="none" w:sz="0" w:space="0" w:color="auto"/>
                <w:bottom w:val="none" w:sz="0" w:space="0" w:color="auto"/>
                <w:right w:val="none" w:sz="0" w:space="0" w:color="auto"/>
              </w:divBdr>
            </w:div>
          </w:divsChild>
        </w:div>
        <w:div w:id="2018195781">
          <w:marLeft w:val="0"/>
          <w:marRight w:val="0"/>
          <w:marTop w:val="0"/>
          <w:marBottom w:val="0"/>
          <w:divBdr>
            <w:top w:val="none" w:sz="0" w:space="0" w:color="auto"/>
            <w:left w:val="none" w:sz="0" w:space="0" w:color="auto"/>
            <w:bottom w:val="none" w:sz="0" w:space="0" w:color="auto"/>
            <w:right w:val="none" w:sz="0" w:space="0" w:color="auto"/>
          </w:divBdr>
          <w:divsChild>
            <w:div w:id="1725329699">
              <w:marLeft w:val="0"/>
              <w:marRight w:val="0"/>
              <w:marTop w:val="0"/>
              <w:marBottom w:val="0"/>
              <w:divBdr>
                <w:top w:val="none" w:sz="0" w:space="0" w:color="auto"/>
                <w:left w:val="none" w:sz="0" w:space="0" w:color="auto"/>
                <w:bottom w:val="none" w:sz="0" w:space="0" w:color="auto"/>
                <w:right w:val="none" w:sz="0" w:space="0" w:color="auto"/>
              </w:divBdr>
            </w:div>
          </w:divsChild>
        </w:div>
        <w:div w:id="2064206469">
          <w:marLeft w:val="0"/>
          <w:marRight w:val="0"/>
          <w:marTop w:val="0"/>
          <w:marBottom w:val="0"/>
          <w:divBdr>
            <w:top w:val="none" w:sz="0" w:space="0" w:color="auto"/>
            <w:left w:val="none" w:sz="0" w:space="0" w:color="auto"/>
            <w:bottom w:val="none" w:sz="0" w:space="0" w:color="auto"/>
            <w:right w:val="none" w:sz="0" w:space="0" w:color="auto"/>
          </w:divBdr>
          <w:divsChild>
            <w:div w:id="318578943">
              <w:marLeft w:val="0"/>
              <w:marRight w:val="0"/>
              <w:marTop w:val="0"/>
              <w:marBottom w:val="0"/>
              <w:divBdr>
                <w:top w:val="none" w:sz="0" w:space="0" w:color="auto"/>
                <w:left w:val="none" w:sz="0" w:space="0" w:color="auto"/>
                <w:bottom w:val="none" w:sz="0" w:space="0" w:color="auto"/>
                <w:right w:val="none" w:sz="0" w:space="0" w:color="auto"/>
              </w:divBdr>
            </w:div>
          </w:divsChild>
        </w:div>
        <w:div w:id="2068797744">
          <w:marLeft w:val="0"/>
          <w:marRight w:val="0"/>
          <w:marTop w:val="0"/>
          <w:marBottom w:val="0"/>
          <w:divBdr>
            <w:top w:val="none" w:sz="0" w:space="0" w:color="auto"/>
            <w:left w:val="none" w:sz="0" w:space="0" w:color="auto"/>
            <w:bottom w:val="none" w:sz="0" w:space="0" w:color="auto"/>
            <w:right w:val="none" w:sz="0" w:space="0" w:color="auto"/>
          </w:divBdr>
          <w:divsChild>
            <w:div w:id="394671971">
              <w:marLeft w:val="0"/>
              <w:marRight w:val="0"/>
              <w:marTop w:val="0"/>
              <w:marBottom w:val="0"/>
              <w:divBdr>
                <w:top w:val="none" w:sz="0" w:space="0" w:color="auto"/>
                <w:left w:val="none" w:sz="0" w:space="0" w:color="auto"/>
                <w:bottom w:val="none" w:sz="0" w:space="0" w:color="auto"/>
                <w:right w:val="none" w:sz="0" w:space="0" w:color="auto"/>
              </w:divBdr>
            </w:div>
          </w:divsChild>
        </w:div>
        <w:div w:id="2082286800">
          <w:marLeft w:val="0"/>
          <w:marRight w:val="0"/>
          <w:marTop w:val="0"/>
          <w:marBottom w:val="0"/>
          <w:divBdr>
            <w:top w:val="none" w:sz="0" w:space="0" w:color="auto"/>
            <w:left w:val="none" w:sz="0" w:space="0" w:color="auto"/>
            <w:bottom w:val="none" w:sz="0" w:space="0" w:color="auto"/>
            <w:right w:val="none" w:sz="0" w:space="0" w:color="auto"/>
          </w:divBdr>
          <w:divsChild>
            <w:div w:id="1127161317">
              <w:marLeft w:val="0"/>
              <w:marRight w:val="0"/>
              <w:marTop w:val="0"/>
              <w:marBottom w:val="0"/>
              <w:divBdr>
                <w:top w:val="none" w:sz="0" w:space="0" w:color="auto"/>
                <w:left w:val="none" w:sz="0" w:space="0" w:color="auto"/>
                <w:bottom w:val="none" w:sz="0" w:space="0" w:color="auto"/>
                <w:right w:val="none" w:sz="0" w:space="0" w:color="auto"/>
              </w:divBdr>
            </w:div>
          </w:divsChild>
        </w:div>
        <w:div w:id="2086410831">
          <w:marLeft w:val="0"/>
          <w:marRight w:val="0"/>
          <w:marTop w:val="0"/>
          <w:marBottom w:val="0"/>
          <w:divBdr>
            <w:top w:val="none" w:sz="0" w:space="0" w:color="auto"/>
            <w:left w:val="none" w:sz="0" w:space="0" w:color="auto"/>
            <w:bottom w:val="none" w:sz="0" w:space="0" w:color="auto"/>
            <w:right w:val="none" w:sz="0" w:space="0" w:color="auto"/>
          </w:divBdr>
          <w:divsChild>
            <w:div w:id="1236090617">
              <w:marLeft w:val="0"/>
              <w:marRight w:val="0"/>
              <w:marTop w:val="0"/>
              <w:marBottom w:val="0"/>
              <w:divBdr>
                <w:top w:val="none" w:sz="0" w:space="0" w:color="auto"/>
                <w:left w:val="none" w:sz="0" w:space="0" w:color="auto"/>
                <w:bottom w:val="none" w:sz="0" w:space="0" w:color="auto"/>
                <w:right w:val="none" w:sz="0" w:space="0" w:color="auto"/>
              </w:divBdr>
            </w:div>
          </w:divsChild>
        </w:div>
        <w:div w:id="2126267550">
          <w:marLeft w:val="0"/>
          <w:marRight w:val="0"/>
          <w:marTop w:val="0"/>
          <w:marBottom w:val="0"/>
          <w:divBdr>
            <w:top w:val="none" w:sz="0" w:space="0" w:color="auto"/>
            <w:left w:val="none" w:sz="0" w:space="0" w:color="auto"/>
            <w:bottom w:val="none" w:sz="0" w:space="0" w:color="auto"/>
            <w:right w:val="none" w:sz="0" w:space="0" w:color="auto"/>
          </w:divBdr>
          <w:divsChild>
            <w:div w:id="258998322">
              <w:marLeft w:val="0"/>
              <w:marRight w:val="0"/>
              <w:marTop w:val="0"/>
              <w:marBottom w:val="0"/>
              <w:divBdr>
                <w:top w:val="none" w:sz="0" w:space="0" w:color="auto"/>
                <w:left w:val="none" w:sz="0" w:space="0" w:color="auto"/>
                <w:bottom w:val="none" w:sz="0" w:space="0" w:color="auto"/>
                <w:right w:val="none" w:sz="0" w:space="0" w:color="auto"/>
              </w:divBdr>
            </w:div>
          </w:divsChild>
        </w:div>
        <w:div w:id="2137480393">
          <w:marLeft w:val="0"/>
          <w:marRight w:val="0"/>
          <w:marTop w:val="0"/>
          <w:marBottom w:val="0"/>
          <w:divBdr>
            <w:top w:val="none" w:sz="0" w:space="0" w:color="auto"/>
            <w:left w:val="none" w:sz="0" w:space="0" w:color="auto"/>
            <w:bottom w:val="none" w:sz="0" w:space="0" w:color="auto"/>
            <w:right w:val="none" w:sz="0" w:space="0" w:color="auto"/>
          </w:divBdr>
          <w:divsChild>
            <w:div w:id="195343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779732">
      <w:bodyDiv w:val="1"/>
      <w:marLeft w:val="0"/>
      <w:marRight w:val="0"/>
      <w:marTop w:val="0"/>
      <w:marBottom w:val="0"/>
      <w:divBdr>
        <w:top w:val="none" w:sz="0" w:space="0" w:color="auto"/>
        <w:left w:val="none" w:sz="0" w:space="0" w:color="auto"/>
        <w:bottom w:val="none" w:sz="0" w:space="0" w:color="auto"/>
        <w:right w:val="none" w:sz="0" w:space="0" w:color="auto"/>
      </w:divBdr>
    </w:div>
    <w:div w:id="666710157">
      <w:bodyDiv w:val="1"/>
      <w:marLeft w:val="0"/>
      <w:marRight w:val="0"/>
      <w:marTop w:val="0"/>
      <w:marBottom w:val="0"/>
      <w:divBdr>
        <w:top w:val="none" w:sz="0" w:space="0" w:color="auto"/>
        <w:left w:val="none" w:sz="0" w:space="0" w:color="auto"/>
        <w:bottom w:val="none" w:sz="0" w:space="0" w:color="auto"/>
        <w:right w:val="none" w:sz="0" w:space="0" w:color="auto"/>
      </w:divBdr>
    </w:div>
    <w:div w:id="666858501">
      <w:bodyDiv w:val="1"/>
      <w:marLeft w:val="0"/>
      <w:marRight w:val="0"/>
      <w:marTop w:val="0"/>
      <w:marBottom w:val="0"/>
      <w:divBdr>
        <w:top w:val="none" w:sz="0" w:space="0" w:color="auto"/>
        <w:left w:val="none" w:sz="0" w:space="0" w:color="auto"/>
        <w:bottom w:val="none" w:sz="0" w:space="0" w:color="auto"/>
        <w:right w:val="none" w:sz="0" w:space="0" w:color="auto"/>
      </w:divBdr>
    </w:div>
    <w:div w:id="682825140">
      <w:bodyDiv w:val="1"/>
      <w:marLeft w:val="0"/>
      <w:marRight w:val="0"/>
      <w:marTop w:val="0"/>
      <w:marBottom w:val="0"/>
      <w:divBdr>
        <w:top w:val="none" w:sz="0" w:space="0" w:color="auto"/>
        <w:left w:val="none" w:sz="0" w:space="0" w:color="auto"/>
        <w:bottom w:val="none" w:sz="0" w:space="0" w:color="auto"/>
        <w:right w:val="none" w:sz="0" w:space="0" w:color="auto"/>
      </w:divBdr>
    </w:div>
    <w:div w:id="692000229">
      <w:bodyDiv w:val="1"/>
      <w:marLeft w:val="0"/>
      <w:marRight w:val="0"/>
      <w:marTop w:val="0"/>
      <w:marBottom w:val="0"/>
      <w:divBdr>
        <w:top w:val="none" w:sz="0" w:space="0" w:color="auto"/>
        <w:left w:val="none" w:sz="0" w:space="0" w:color="auto"/>
        <w:bottom w:val="none" w:sz="0" w:space="0" w:color="auto"/>
        <w:right w:val="none" w:sz="0" w:space="0" w:color="auto"/>
      </w:divBdr>
    </w:div>
    <w:div w:id="794561399">
      <w:bodyDiv w:val="1"/>
      <w:marLeft w:val="0"/>
      <w:marRight w:val="0"/>
      <w:marTop w:val="0"/>
      <w:marBottom w:val="0"/>
      <w:divBdr>
        <w:top w:val="none" w:sz="0" w:space="0" w:color="auto"/>
        <w:left w:val="none" w:sz="0" w:space="0" w:color="auto"/>
        <w:bottom w:val="none" w:sz="0" w:space="0" w:color="auto"/>
        <w:right w:val="none" w:sz="0" w:space="0" w:color="auto"/>
      </w:divBdr>
      <w:divsChild>
        <w:div w:id="772818582">
          <w:marLeft w:val="0"/>
          <w:marRight w:val="0"/>
          <w:marTop w:val="0"/>
          <w:marBottom w:val="0"/>
          <w:divBdr>
            <w:top w:val="none" w:sz="0" w:space="0" w:color="auto"/>
            <w:left w:val="none" w:sz="0" w:space="0" w:color="auto"/>
            <w:bottom w:val="none" w:sz="0" w:space="0" w:color="auto"/>
            <w:right w:val="none" w:sz="0" w:space="0" w:color="auto"/>
          </w:divBdr>
        </w:div>
        <w:div w:id="1207645646">
          <w:marLeft w:val="0"/>
          <w:marRight w:val="0"/>
          <w:marTop w:val="0"/>
          <w:marBottom w:val="0"/>
          <w:divBdr>
            <w:top w:val="none" w:sz="0" w:space="0" w:color="auto"/>
            <w:left w:val="none" w:sz="0" w:space="0" w:color="auto"/>
            <w:bottom w:val="none" w:sz="0" w:space="0" w:color="auto"/>
            <w:right w:val="none" w:sz="0" w:space="0" w:color="auto"/>
          </w:divBdr>
        </w:div>
        <w:div w:id="2071807847">
          <w:marLeft w:val="0"/>
          <w:marRight w:val="0"/>
          <w:marTop w:val="0"/>
          <w:marBottom w:val="0"/>
          <w:divBdr>
            <w:top w:val="none" w:sz="0" w:space="0" w:color="auto"/>
            <w:left w:val="none" w:sz="0" w:space="0" w:color="auto"/>
            <w:bottom w:val="none" w:sz="0" w:space="0" w:color="auto"/>
            <w:right w:val="none" w:sz="0" w:space="0" w:color="auto"/>
          </w:divBdr>
        </w:div>
      </w:divsChild>
    </w:div>
    <w:div w:id="797341168">
      <w:bodyDiv w:val="1"/>
      <w:marLeft w:val="0"/>
      <w:marRight w:val="0"/>
      <w:marTop w:val="0"/>
      <w:marBottom w:val="0"/>
      <w:divBdr>
        <w:top w:val="none" w:sz="0" w:space="0" w:color="auto"/>
        <w:left w:val="none" w:sz="0" w:space="0" w:color="auto"/>
        <w:bottom w:val="none" w:sz="0" w:space="0" w:color="auto"/>
        <w:right w:val="none" w:sz="0" w:space="0" w:color="auto"/>
      </w:divBdr>
      <w:divsChild>
        <w:div w:id="61880544">
          <w:marLeft w:val="0"/>
          <w:marRight w:val="0"/>
          <w:marTop w:val="0"/>
          <w:marBottom w:val="0"/>
          <w:divBdr>
            <w:top w:val="none" w:sz="0" w:space="0" w:color="auto"/>
            <w:left w:val="none" w:sz="0" w:space="0" w:color="auto"/>
            <w:bottom w:val="none" w:sz="0" w:space="0" w:color="auto"/>
            <w:right w:val="none" w:sz="0" w:space="0" w:color="auto"/>
          </w:divBdr>
        </w:div>
        <w:div w:id="109323977">
          <w:marLeft w:val="0"/>
          <w:marRight w:val="0"/>
          <w:marTop w:val="0"/>
          <w:marBottom w:val="0"/>
          <w:divBdr>
            <w:top w:val="none" w:sz="0" w:space="0" w:color="auto"/>
            <w:left w:val="none" w:sz="0" w:space="0" w:color="auto"/>
            <w:bottom w:val="none" w:sz="0" w:space="0" w:color="auto"/>
            <w:right w:val="none" w:sz="0" w:space="0" w:color="auto"/>
          </w:divBdr>
        </w:div>
        <w:div w:id="925573123">
          <w:marLeft w:val="0"/>
          <w:marRight w:val="0"/>
          <w:marTop w:val="0"/>
          <w:marBottom w:val="0"/>
          <w:divBdr>
            <w:top w:val="none" w:sz="0" w:space="0" w:color="auto"/>
            <w:left w:val="none" w:sz="0" w:space="0" w:color="auto"/>
            <w:bottom w:val="none" w:sz="0" w:space="0" w:color="auto"/>
            <w:right w:val="none" w:sz="0" w:space="0" w:color="auto"/>
          </w:divBdr>
        </w:div>
        <w:div w:id="1875730019">
          <w:marLeft w:val="0"/>
          <w:marRight w:val="0"/>
          <w:marTop w:val="0"/>
          <w:marBottom w:val="0"/>
          <w:divBdr>
            <w:top w:val="none" w:sz="0" w:space="0" w:color="auto"/>
            <w:left w:val="none" w:sz="0" w:space="0" w:color="auto"/>
            <w:bottom w:val="none" w:sz="0" w:space="0" w:color="auto"/>
            <w:right w:val="none" w:sz="0" w:space="0" w:color="auto"/>
          </w:divBdr>
        </w:div>
        <w:div w:id="1908568668">
          <w:marLeft w:val="0"/>
          <w:marRight w:val="0"/>
          <w:marTop w:val="0"/>
          <w:marBottom w:val="0"/>
          <w:divBdr>
            <w:top w:val="none" w:sz="0" w:space="0" w:color="auto"/>
            <w:left w:val="none" w:sz="0" w:space="0" w:color="auto"/>
            <w:bottom w:val="none" w:sz="0" w:space="0" w:color="auto"/>
            <w:right w:val="none" w:sz="0" w:space="0" w:color="auto"/>
          </w:divBdr>
        </w:div>
        <w:div w:id="1944800132">
          <w:marLeft w:val="0"/>
          <w:marRight w:val="0"/>
          <w:marTop w:val="0"/>
          <w:marBottom w:val="0"/>
          <w:divBdr>
            <w:top w:val="none" w:sz="0" w:space="0" w:color="auto"/>
            <w:left w:val="none" w:sz="0" w:space="0" w:color="auto"/>
            <w:bottom w:val="none" w:sz="0" w:space="0" w:color="auto"/>
            <w:right w:val="none" w:sz="0" w:space="0" w:color="auto"/>
          </w:divBdr>
        </w:div>
        <w:div w:id="2009671610">
          <w:marLeft w:val="0"/>
          <w:marRight w:val="0"/>
          <w:marTop w:val="0"/>
          <w:marBottom w:val="0"/>
          <w:divBdr>
            <w:top w:val="none" w:sz="0" w:space="0" w:color="auto"/>
            <w:left w:val="none" w:sz="0" w:space="0" w:color="auto"/>
            <w:bottom w:val="none" w:sz="0" w:space="0" w:color="auto"/>
            <w:right w:val="none" w:sz="0" w:space="0" w:color="auto"/>
          </w:divBdr>
        </w:div>
      </w:divsChild>
    </w:div>
    <w:div w:id="851529657">
      <w:bodyDiv w:val="1"/>
      <w:marLeft w:val="0"/>
      <w:marRight w:val="0"/>
      <w:marTop w:val="0"/>
      <w:marBottom w:val="0"/>
      <w:divBdr>
        <w:top w:val="none" w:sz="0" w:space="0" w:color="auto"/>
        <w:left w:val="none" w:sz="0" w:space="0" w:color="auto"/>
        <w:bottom w:val="none" w:sz="0" w:space="0" w:color="auto"/>
        <w:right w:val="none" w:sz="0" w:space="0" w:color="auto"/>
      </w:divBdr>
    </w:div>
    <w:div w:id="860434897">
      <w:bodyDiv w:val="1"/>
      <w:marLeft w:val="0"/>
      <w:marRight w:val="0"/>
      <w:marTop w:val="0"/>
      <w:marBottom w:val="0"/>
      <w:divBdr>
        <w:top w:val="none" w:sz="0" w:space="0" w:color="auto"/>
        <w:left w:val="none" w:sz="0" w:space="0" w:color="auto"/>
        <w:bottom w:val="none" w:sz="0" w:space="0" w:color="auto"/>
        <w:right w:val="none" w:sz="0" w:space="0" w:color="auto"/>
      </w:divBdr>
      <w:divsChild>
        <w:div w:id="419183651">
          <w:marLeft w:val="0"/>
          <w:marRight w:val="0"/>
          <w:marTop w:val="0"/>
          <w:marBottom w:val="0"/>
          <w:divBdr>
            <w:top w:val="none" w:sz="0" w:space="0" w:color="auto"/>
            <w:left w:val="none" w:sz="0" w:space="0" w:color="auto"/>
            <w:bottom w:val="none" w:sz="0" w:space="0" w:color="auto"/>
            <w:right w:val="none" w:sz="0" w:space="0" w:color="auto"/>
          </w:divBdr>
        </w:div>
        <w:div w:id="671640803">
          <w:marLeft w:val="0"/>
          <w:marRight w:val="0"/>
          <w:marTop w:val="0"/>
          <w:marBottom w:val="0"/>
          <w:divBdr>
            <w:top w:val="none" w:sz="0" w:space="0" w:color="auto"/>
            <w:left w:val="none" w:sz="0" w:space="0" w:color="auto"/>
            <w:bottom w:val="none" w:sz="0" w:space="0" w:color="auto"/>
            <w:right w:val="none" w:sz="0" w:space="0" w:color="auto"/>
          </w:divBdr>
        </w:div>
        <w:div w:id="950281196">
          <w:marLeft w:val="0"/>
          <w:marRight w:val="0"/>
          <w:marTop w:val="0"/>
          <w:marBottom w:val="0"/>
          <w:divBdr>
            <w:top w:val="none" w:sz="0" w:space="0" w:color="auto"/>
            <w:left w:val="none" w:sz="0" w:space="0" w:color="auto"/>
            <w:bottom w:val="none" w:sz="0" w:space="0" w:color="auto"/>
            <w:right w:val="none" w:sz="0" w:space="0" w:color="auto"/>
          </w:divBdr>
        </w:div>
        <w:div w:id="1770079247">
          <w:marLeft w:val="0"/>
          <w:marRight w:val="0"/>
          <w:marTop w:val="0"/>
          <w:marBottom w:val="0"/>
          <w:divBdr>
            <w:top w:val="none" w:sz="0" w:space="0" w:color="auto"/>
            <w:left w:val="none" w:sz="0" w:space="0" w:color="auto"/>
            <w:bottom w:val="none" w:sz="0" w:space="0" w:color="auto"/>
            <w:right w:val="none" w:sz="0" w:space="0" w:color="auto"/>
          </w:divBdr>
        </w:div>
        <w:div w:id="1778135323">
          <w:marLeft w:val="0"/>
          <w:marRight w:val="0"/>
          <w:marTop w:val="0"/>
          <w:marBottom w:val="0"/>
          <w:divBdr>
            <w:top w:val="none" w:sz="0" w:space="0" w:color="auto"/>
            <w:left w:val="none" w:sz="0" w:space="0" w:color="auto"/>
            <w:bottom w:val="none" w:sz="0" w:space="0" w:color="auto"/>
            <w:right w:val="none" w:sz="0" w:space="0" w:color="auto"/>
          </w:divBdr>
        </w:div>
        <w:div w:id="1811677641">
          <w:marLeft w:val="0"/>
          <w:marRight w:val="0"/>
          <w:marTop w:val="0"/>
          <w:marBottom w:val="0"/>
          <w:divBdr>
            <w:top w:val="none" w:sz="0" w:space="0" w:color="auto"/>
            <w:left w:val="none" w:sz="0" w:space="0" w:color="auto"/>
            <w:bottom w:val="none" w:sz="0" w:space="0" w:color="auto"/>
            <w:right w:val="none" w:sz="0" w:space="0" w:color="auto"/>
          </w:divBdr>
        </w:div>
        <w:div w:id="1943103037">
          <w:marLeft w:val="0"/>
          <w:marRight w:val="0"/>
          <w:marTop w:val="0"/>
          <w:marBottom w:val="0"/>
          <w:divBdr>
            <w:top w:val="none" w:sz="0" w:space="0" w:color="auto"/>
            <w:left w:val="none" w:sz="0" w:space="0" w:color="auto"/>
            <w:bottom w:val="none" w:sz="0" w:space="0" w:color="auto"/>
            <w:right w:val="none" w:sz="0" w:space="0" w:color="auto"/>
          </w:divBdr>
        </w:div>
      </w:divsChild>
    </w:div>
    <w:div w:id="898132104">
      <w:bodyDiv w:val="1"/>
      <w:marLeft w:val="0"/>
      <w:marRight w:val="0"/>
      <w:marTop w:val="0"/>
      <w:marBottom w:val="0"/>
      <w:divBdr>
        <w:top w:val="none" w:sz="0" w:space="0" w:color="auto"/>
        <w:left w:val="none" w:sz="0" w:space="0" w:color="auto"/>
        <w:bottom w:val="none" w:sz="0" w:space="0" w:color="auto"/>
        <w:right w:val="none" w:sz="0" w:space="0" w:color="auto"/>
      </w:divBdr>
    </w:div>
    <w:div w:id="913975352">
      <w:bodyDiv w:val="1"/>
      <w:marLeft w:val="0"/>
      <w:marRight w:val="0"/>
      <w:marTop w:val="0"/>
      <w:marBottom w:val="0"/>
      <w:divBdr>
        <w:top w:val="none" w:sz="0" w:space="0" w:color="auto"/>
        <w:left w:val="none" w:sz="0" w:space="0" w:color="auto"/>
        <w:bottom w:val="none" w:sz="0" w:space="0" w:color="auto"/>
        <w:right w:val="none" w:sz="0" w:space="0" w:color="auto"/>
      </w:divBdr>
    </w:div>
    <w:div w:id="923103894">
      <w:bodyDiv w:val="1"/>
      <w:marLeft w:val="0"/>
      <w:marRight w:val="0"/>
      <w:marTop w:val="0"/>
      <w:marBottom w:val="0"/>
      <w:divBdr>
        <w:top w:val="none" w:sz="0" w:space="0" w:color="auto"/>
        <w:left w:val="none" w:sz="0" w:space="0" w:color="auto"/>
        <w:bottom w:val="none" w:sz="0" w:space="0" w:color="auto"/>
        <w:right w:val="none" w:sz="0" w:space="0" w:color="auto"/>
      </w:divBdr>
    </w:div>
    <w:div w:id="926230666">
      <w:bodyDiv w:val="1"/>
      <w:marLeft w:val="0"/>
      <w:marRight w:val="0"/>
      <w:marTop w:val="0"/>
      <w:marBottom w:val="0"/>
      <w:divBdr>
        <w:top w:val="none" w:sz="0" w:space="0" w:color="auto"/>
        <w:left w:val="none" w:sz="0" w:space="0" w:color="auto"/>
        <w:bottom w:val="none" w:sz="0" w:space="0" w:color="auto"/>
        <w:right w:val="none" w:sz="0" w:space="0" w:color="auto"/>
      </w:divBdr>
    </w:div>
    <w:div w:id="930430227">
      <w:bodyDiv w:val="1"/>
      <w:marLeft w:val="0"/>
      <w:marRight w:val="0"/>
      <w:marTop w:val="0"/>
      <w:marBottom w:val="0"/>
      <w:divBdr>
        <w:top w:val="none" w:sz="0" w:space="0" w:color="auto"/>
        <w:left w:val="none" w:sz="0" w:space="0" w:color="auto"/>
        <w:bottom w:val="none" w:sz="0" w:space="0" w:color="auto"/>
        <w:right w:val="none" w:sz="0" w:space="0" w:color="auto"/>
      </w:divBdr>
    </w:div>
    <w:div w:id="955256960">
      <w:bodyDiv w:val="1"/>
      <w:marLeft w:val="0"/>
      <w:marRight w:val="0"/>
      <w:marTop w:val="0"/>
      <w:marBottom w:val="0"/>
      <w:divBdr>
        <w:top w:val="none" w:sz="0" w:space="0" w:color="auto"/>
        <w:left w:val="none" w:sz="0" w:space="0" w:color="auto"/>
        <w:bottom w:val="none" w:sz="0" w:space="0" w:color="auto"/>
        <w:right w:val="none" w:sz="0" w:space="0" w:color="auto"/>
      </w:divBdr>
    </w:div>
    <w:div w:id="988093768">
      <w:bodyDiv w:val="1"/>
      <w:marLeft w:val="0"/>
      <w:marRight w:val="0"/>
      <w:marTop w:val="0"/>
      <w:marBottom w:val="0"/>
      <w:divBdr>
        <w:top w:val="none" w:sz="0" w:space="0" w:color="auto"/>
        <w:left w:val="none" w:sz="0" w:space="0" w:color="auto"/>
        <w:bottom w:val="none" w:sz="0" w:space="0" w:color="auto"/>
        <w:right w:val="none" w:sz="0" w:space="0" w:color="auto"/>
      </w:divBdr>
      <w:divsChild>
        <w:div w:id="89130678">
          <w:marLeft w:val="0"/>
          <w:marRight w:val="0"/>
          <w:marTop w:val="0"/>
          <w:marBottom w:val="0"/>
          <w:divBdr>
            <w:top w:val="none" w:sz="0" w:space="0" w:color="auto"/>
            <w:left w:val="none" w:sz="0" w:space="0" w:color="auto"/>
            <w:bottom w:val="none" w:sz="0" w:space="0" w:color="auto"/>
            <w:right w:val="none" w:sz="0" w:space="0" w:color="auto"/>
          </w:divBdr>
        </w:div>
        <w:div w:id="444927295">
          <w:marLeft w:val="0"/>
          <w:marRight w:val="0"/>
          <w:marTop w:val="0"/>
          <w:marBottom w:val="0"/>
          <w:divBdr>
            <w:top w:val="none" w:sz="0" w:space="0" w:color="auto"/>
            <w:left w:val="none" w:sz="0" w:space="0" w:color="auto"/>
            <w:bottom w:val="none" w:sz="0" w:space="0" w:color="auto"/>
            <w:right w:val="none" w:sz="0" w:space="0" w:color="auto"/>
          </w:divBdr>
        </w:div>
        <w:div w:id="801920853">
          <w:marLeft w:val="0"/>
          <w:marRight w:val="0"/>
          <w:marTop w:val="0"/>
          <w:marBottom w:val="0"/>
          <w:divBdr>
            <w:top w:val="none" w:sz="0" w:space="0" w:color="auto"/>
            <w:left w:val="none" w:sz="0" w:space="0" w:color="auto"/>
            <w:bottom w:val="none" w:sz="0" w:space="0" w:color="auto"/>
            <w:right w:val="none" w:sz="0" w:space="0" w:color="auto"/>
          </w:divBdr>
        </w:div>
        <w:div w:id="838740065">
          <w:marLeft w:val="0"/>
          <w:marRight w:val="0"/>
          <w:marTop w:val="0"/>
          <w:marBottom w:val="0"/>
          <w:divBdr>
            <w:top w:val="none" w:sz="0" w:space="0" w:color="auto"/>
            <w:left w:val="none" w:sz="0" w:space="0" w:color="auto"/>
            <w:bottom w:val="none" w:sz="0" w:space="0" w:color="auto"/>
            <w:right w:val="none" w:sz="0" w:space="0" w:color="auto"/>
          </w:divBdr>
        </w:div>
        <w:div w:id="2017728902">
          <w:marLeft w:val="0"/>
          <w:marRight w:val="0"/>
          <w:marTop w:val="0"/>
          <w:marBottom w:val="0"/>
          <w:divBdr>
            <w:top w:val="none" w:sz="0" w:space="0" w:color="auto"/>
            <w:left w:val="none" w:sz="0" w:space="0" w:color="auto"/>
            <w:bottom w:val="none" w:sz="0" w:space="0" w:color="auto"/>
            <w:right w:val="none" w:sz="0" w:space="0" w:color="auto"/>
          </w:divBdr>
        </w:div>
        <w:div w:id="2088114422">
          <w:marLeft w:val="0"/>
          <w:marRight w:val="0"/>
          <w:marTop w:val="0"/>
          <w:marBottom w:val="0"/>
          <w:divBdr>
            <w:top w:val="none" w:sz="0" w:space="0" w:color="auto"/>
            <w:left w:val="none" w:sz="0" w:space="0" w:color="auto"/>
            <w:bottom w:val="none" w:sz="0" w:space="0" w:color="auto"/>
            <w:right w:val="none" w:sz="0" w:space="0" w:color="auto"/>
          </w:divBdr>
        </w:div>
      </w:divsChild>
    </w:div>
    <w:div w:id="1025138850">
      <w:bodyDiv w:val="1"/>
      <w:marLeft w:val="0"/>
      <w:marRight w:val="0"/>
      <w:marTop w:val="0"/>
      <w:marBottom w:val="0"/>
      <w:divBdr>
        <w:top w:val="none" w:sz="0" w:space="0" w:color="auto"/>
        <w:left w:val="none" w:sz="0" w:space="0" w:color="auto"/>
        <w:bottom w:val="none" w:sz="0" w:space="0" w:color="auto"/>
        <w:right w:val="none" w:sz="0" w:space="0" w:color="auto"/>
      </w:divBdr>
    </w:div>
    <w:div w:id="1026297233">
      <w:bodyDiv w:val="1"/>
      <w:marLeft w:val="0"/>
      <w:marRight w:val="0"/>
      <w:marTop w:val="0"/>
      <w:marBottom w:val="0"/>
      <w:divBdr>
        <w:top w:val="none" w:sz="0" w:space="0" w:color="auto"/>
        <w:left w:val="none" w:sz="0" w:space="0" w:color="auto"/>
        <w:bottom w:val="none" w:sz="0" w:space="0" w:color="auto"/>
        <w:right w:val="none" w:sz="0" w:space="0" w:color="auto"/>
      </w:divBdr>
    </w:div>
    <w:div w:id="1026714577">
      <w:bodyDiv w:val="1"/>
      <w:marLeft w:val="0"/>
      <w:marRight w:val="0"/>
      <w:marTop w:val="0"/>
      <w:marBottom w:val="0"/>
      <w:divBdr>
        <w:top w:val="none" w:sz="0" w:space="0" w:color="auto"/>
        <w:left w:val="none" w:sz="0" w:space="0" w:color="auto"/>
        <w:bottom w:val="none" w:sz="0" w:space="0" w:color="auto"/>
        <w:right w:val="none" w:sz="0" w:space="0" w:color="auto"/>
      </w:divBdr>
    </w:div>
    <w:div w:id="1030758965">
      <w:bodyDiv w:val="1"/>
      <w:marLeft w:val="0"/>
      <w:marRight w:val="0"/>
      <w:marTop w:val="0"/>
      <w:marBottom w:val="0"/>
      <w:divBdr>
        <w:top w:val="none" w:sz="0" w:space="0" w:color="auto"/>
        <w:left w:val="none" w:sz="0" w:space="0" w:color="auto"/>
        <w:bottom w:val="none" w:sz="0" w:space="0" w:color="auto"/>
        <w:right w:val="none" w:sz="0" w:space="0" w:color="auto"/>
      </w:divBdr>
    </w:div>
    <w:div w:id="1032265771">
      <w:bodyDiv w:val="1"/>
      <w:marLeft w:val="0"/>
      <w:marRight w:val="0"/>
      <w:marTop w:val="0"/>
      <w:marBottom w:val="0"/>
      <w:divBdr>
        <w:top w:val="none" w:sz="0" w:space="0" w:color="auto"/>
        <w:left w:val="none" w:sz="0" w:space="0" w:color="auto"/>
        <w:bottom w:val="none" w:sz="0" w:space="0" w:color="auto"/>
        <w:right w:val="none" w:sz="0" w:space="0" w:color="auto"/>
      </w:divBdr>
    </w:div>
    <w:div w:id="1039084091">
      <w:bodyDiv w:val="1"/>
      <w:marLeft w:val="0"/>
      <w:marRight w:val="0"/>
      <w:marTop w:val="0"/>
      <w:marBottom w:val="0"/>
      <w:divBdr>
        <w:top w:val="none" w:sz="0" w:space="0" w:color="auto"/>
        <w:left w:val="none" w:sz="0" w:space="0" w:color="auto"/>
        <w:bottom w:val="none" w:sz="0" w:space="0" w:color="auto"/>
        <w:right w:val="none" w:sz="0" w:space="0" w:color="auto"/>
      </w:divBdr>
    </w:div>
    <w:div w:id="1050377362">
      <w:bodyDiv w:val="1"/>
      <w:marLeft w:val="0"/>
      <w:marRight w:val="0"/>
      <w:marTop w:val="0"/>
      <w:marBottom w:val="0"/>
      <w:divBdr>
        <w:top w:val="none" w:sz="0" w:space="0" w:color="auto"/>
        <w:left w:val="none" w:sz="0" w:space="0" w:color="auto"/>
        <w:bottom w:val="none" w:sz="0" w:space="0" w:color="auto"/>
        <w:right w:val="none" w:sz="0" w:space="0" w:color="auto"/>
      </w:divBdr>
    </w:div>
    <w:div w:id="1061290836">
      <w:bodyDiv w:val="1"/>
      <w:marLeft w:val="0"/>
      <w:marRight w:val="0"/>
      <w:marTop w:val="0"/>
      <w:marBottom w:val="0"/>
      <w:divBdr>
        <w:top w:val="none" w:sz="0" w:space="0" w:color="auto"/>
        <w:left w:val="none" w:sz="0" w:space="0" w:color="auto"/>
        <w:bottom w:val="none" w:sz="0" w:space="0" w:color="auto"/>
        <w:right w:val="none" w:sz="0" w:space="0" w:color="auto"/>
      </w:divBdr>
    </w:div>
    <w:div w:id="1091656190">
      <w:bodyDiv w:val="1"/>
      <w:marLeft w:val="0"/>
      <w:marRight w:val="0"/>
      <w:marTop w:val="0"/>
      <w:marBottom w:val="0"/>
      <w:divBdr>
        <w:top w:val="none" w:sz="0" w:space="0" w:color="auto"/>
        <w:left w:val="none" w:sz="0" w:space="0" w:color="auto"/>
        <w:bottom w:val="none" w:sz="0" w:space="0" w:color="auto"/>
        <w:right w:val="none" w:sz="0" w:space="0" w:color="auto"/>
      </w:divBdr>
    </w:div>
    <w:div w:id="1153058777">
      <w:bodyDiv w:val="1"/>
      <w:marLeft w:val="0"/>
      <w:marRight w:val="0"/>
      <w:marTop w:val="0"/>
      <w:marBottom w:val="0"/>
      <w:divBdr>
        <w:top w:val="none" w:sz="0" w:space="0" w:color="auto"/>
        <w:left w:val="none" w:sz="0" w:space="0" w:color="auto"/>
        <w:bottom w:val="none" w:sz="0" w:space="0" w:color="auto"/>
        <w:right w:val="none" w:sz="0" w:space="0" w:color="auto"/>
      </w:divBdr>
      <w:divsChild>
        <w:div w:id="425156239">
          <w:marLeft w:val="0"/>
          <w:marRight w:val="0"/>
          <w:marTop w:val="0"/>
          <w:marBottom w:val="0"/>
          <w:divBdr>
            <w:top w:val="none" w:sz="0" w:space="0" w:color="auto"/>
            <w:left w:val="none" w:sz="0" w:space="0" w:color="auto"/>
            <w:bottom w:val="none" w:sz="0" w:space="0" w:color="auto"/>
            <w:right w:val="none" w:sz="0" w:space="0" w:color="auto"/>
          </w:divBdr>
        </w:div>
        <w:div w:id="480275786">
          <w:marLeft w:val="0"/>
          <w:marRight w:val="0"/>
          <w:marTop w:val="0"/>
          <w:marBottom w:val="0"/>
          <w:divBdr>
            <w:top w:val="none" w:sz="0" w:space="0" w:color="auto"/>
            <w:left w:val="none" w:sz="0" w:space="0" w:color="auto"/>
            <w:bottom w:val="none" w:sz="0" w:space="0" w:color="auto"/>
            <w:right w:val="none" w:sz="0" w:space="0" w:color="auto"/>
          </w:divBdr>
        </w:div>
        <w:div w:id="497504907">
          <w:marLeft w:val="0"/>
          <w:marRight w:val="0"/>
          <w:marTop w:val="0"/>
          <w:marBottom w:val="0"/>
          <w:divBdr>
            <w:top w:val="none" w:sz="0" w:space="0" w:color="auto"/>
            <w:left w:val="none" w:sz="0" w:space="0" w:color="auto"/>
            <w:bottom w:val="none" w:sz="0" w:space="0" w:color="auto"/>
            <w:right w:val="none" w:sz="0" w:space="0" w:color="auto"/>
          </w:divBdr>
        </w:div>
        <w:div w:id="698504200">
          <w:marLeft w:val="0"/>
          <w:marRight w:val="0"/>
          <w:marTop w:val="0"/>
          <w:marBottom w:val="0"/>
          <w:divBdr>
            <w:top w:val="none" w:sz="0" w:space="0" w:color="auto"/>
            <w:left w:val="none" w:sz="0" w:space="0" w:color="auto"/>
            <w:bottom w:val="none" w:sz="0" w:space="0" w:color="auto"/>
            <w:right w:val="none" w:sz="0" w:space="0" w:color="auto"/>
          </w:divBdr>
        </w:div>
        <w:div w:id="884026765">
          <w:marLeft w:val="0"/>
          <w:marRight w:val="0"/>
          <w:marTop w:val="0"/>
          <w:marBottom w:val="0"/>
          <w:divBdr>
            <w:top w:val="none" w:sz="0" w:space="0" w:color="auto"/>
            <w:left w:val="none" w:sz="0" w:space="0" w:color="auto"/>
            <w:bottom w:val="none" w:sz="0" w:space="0" w:color="auto"/>
            <w:right w:val="none" w:sz="0" w:space="0" w:color="auto"/>
          </w:divBdr>
        </w:div>
        <w:div w:id="1048922209">
          <w:marLeft w:val="0"/>
          <w:marRight w:val="0"/>
          <w:marTop w:val="0"/>
          <w:marBottom w:val="0"/>
          <w:divBdr>
            <w:top w:val="none" w:sz="0" w:space="0" w:color="auto"/>
            <w:left w:val="none" w:sz="0" w:space="0" w:color="auto"/>
            <w:bottom w:val="none" w:sz="0" w:space="0" w:color="auto"/>
            <w:right w:val="none" w:sz="0" w:space="0" w:color="auto"/>
          </w:divBdr>
        </w:div>
        <w:div w:id="1665936974">
          <w:marLeft w:val="0"/>
          <w:marRight w:val="0"/>
          <w:marTop w:val="0"/>
          <w:marBottom w:val="0"/>
          <w:divBdr>
            <w:top w:val="none" w:sz="0" w:space="0" w:color="auto"/>
            <w:left w:val="none" w:sz="0" w:space="0" w:color="auto"/>
            <w:bottom w:val="none" w:sz="0" w:space="0" w:color="auto"/>
            <w:right w:val="none" w:sz="0" w:space="0" w:color="auto"/>
          </w:divBdr>
        </w:div>
      </w:divsChild>
    </w:div>
    <w:div w:id="1159881030">
      <w:bodyDiv w:val="1"/>
      <w:marLeft w:val="0"/>
      <w:marRight w:val="0"/>
      <w:marTop w:val="0"/>
      <w:marBottom w:val="0"/>
      <w:divBdr>
        <w:top w:val="none" w:sz="0" w:space="0" w:color="auto"/>
        <w:left w:val="none" w:sz="0" w:space="0" w:color="auto"/>
        <w:bottom w:val="none" w:sz="0" w:space="0" w:color="auto"/>
        <w:right w:val="none" w:sz="0" w:space="0" w:color="auto"/>
      </w:divBdr>
    </w:div>
    <w:div w:id="1171682894">
      <w:bodyDiv w:val="1"/>
      <w:marLeft w:val="0"/>
      <w:marRight w:val="0"/>
      <w:marTop w:val="0"/>
      <w:marBottom w:val="0"/>
      <w:divBdr>
        <w:top w:val="none" w:sz="0" w:space="0" w:color="auto"/>
        <w:left w:val="none" w:sz="0" w:space="0" w:color="auto"/>
        <w:bottom w:val="none" w:sz="0" w:space="0" w:color="auto"/>
        <w:right w:val="none" w:sz="0" w:space="0" w:color="auto"/>
      </w:divBdr>
    </w:div>
    <w:div w:id="1276476813">
      <w:bodyDiv w:val="1"/>
      <w:marLeft w:val="0"/>
      <w:marRight w:val="0"/>
      <w:marTop w:val="0"/>
      <w:marBottom w:val="0"/>
      <w:divBdr>
        <w:top w:val="none" w:sz="0" w:space="0" w:color="auto"/>
        <w:left w:val="none" w:sz="0" w:space="0" w:color="auto"/>
        <w:bottom w:val="none" w:sz="0" w:space="0" w:color="auto"/>
        <w:right w:val="none" w:sz="0" w:space="0" w:color="auto"/>
      </w:divBdr>
      <w:divsChild>
        <w:div w:id="192959439">
          <w:marLeft w:val="0"/>
          <w:marRight w:val="0"/>
          <w:marTop w:val="0"/>
          <w:marBottom w:val="0"/>
          <w:divBdr>
            <w:top w:val="none" w:sz="0" w:space="0" w:color="auto"/>
            <w:left w:val="none" w:sz="0" w:space="0" w:color="auto"/>
            <w:bottom w:val="none" w:sz="0" w:space="0" w:color="auto"/>
            <w:right w:val="none" w:sz="0" w:space="0" w:color="auto"/>
          </w:divBdr>
          <w:divsChild>
            <w:div w:id="25180468">
              <w:marLeft w:val="0"/>
              <w:marRight w:val="0"/>
              <w:marTop w:val="0"/>
              <w:marBottom w:val="0"/>
              <w:divBdr>
                <w:top w:val="none" w:sz="0" w:space="0" w:color="auto"/>
                <w:left w:val="none" w:sz="0" w:space="0" w:color="auto"/>
                <w:bottom w:val="none" w:sz="0" w:space="0" w:color="auto"/>
                <w:right w:val="none" w:sz="0" w:space="0" w:color="auto"/>
              </w:divBdr>
            </w:div>
            <w:div w:id="182019915">
              <w:marLeft w:val="0"/>
              <w:marRight w:val="0"/>
              <w:marTop w:val="0"/>
              <w:marBottom w:val="0"/>
              <w:divBdr>
                <w:top w:val="none" w:sz="0" w:space="0" w:color="auto"/>
                <w:left w:val="none" w:sz="0" w:space="0" w:color="auto"/>
                <w:bottom w:val="none" w:sz="0" w:space="0" w:color="auto"/>
                <w:right w:val="none" w:sz="0" w:space="0" w:color="auto"/>
              </w:divBdr>
            </w:div>
            <w:div w:id="387193402">
              <w:marLeft w:val="0"/>
              <w:marRight w:val="0"/>
              <w:marTop w:val="0"/>
              <w:marBottom w:val="0"/>
              <w:divBdr>
                <w:top w:val="none" w:sz="0" w:space="0" w:color="auto"/>
                <w:left w:val="none" w:sz="0" w:space="0" w:color="auto"/>
                <w:bottom w:val="none" w:sz="0" w:space="0" w:color="auto"/>
                <w:right w:val="none" w:sz="0" w:space="0" w:color="auto"/>
              </w:divBdr>
            </w:div>
            <w:div w:id="490105026">
              <w:marLeft w:val="0"/>
              <w:marRight w:val="0"/>
              <w:marTop w:val="0"/>
              <w:marBottom w:val="0"/>
              <w:divBdr>
                <w:top w:val="none" w:sz="0" w:space="0" w:color="auto"/>
                <w:left w:val="none" w:sz="0" w:space="0" w:color="auto"/>
                <w:bottom w:val="none" w:sz="0" w:space="0" w:color="auto"/>
                <w:right w:val="none" w:sz="0" w:space="0" w:color="auto"/>
              </w:divBdr>
            </w:div>
            <w:div w:id="526800072">
              <w:marLeft w:val="0"/>
              <w:marRight w:val="0"/>
              <w:marTop w:val="0"/>
              <w:marBottom w:val="0"/>
              <w:divBdr>
                <w:top w:val="none" w:sz="0" w:space="0" w:color="auto"/>
                <w:left w:val="none" w:sz="0" w:space="0" w:color="auto"/>
                <w:bottom w:val="none" w:sz="0" w:space="0" w:color="auto"/>
                <w:right w:val="none" w:sz="0" w:space="0" w:color="auto"/>
              </w:divBdr>
            </w:div>
            <w:div w:id="670373107">
              <w:marLeft w:val="0"/>
              <w:marRight w:val="0"/>
              <w:marTop w:val="0"/>
              <w:marBottom w:val="0"/>
              <w:divBdr>
                <w:top w:val="none" w:sz="0" w:space="0" w:color="auto"/>
                <w:left w:val="none" w:sz="0" w:space="0" w:color="auto"/>
                <w:bottom w:val="none" w:sz="0" w:space="0" w:color="auto"/>
                <w:right w:val="none" w:sz="0" w:space="0" w:color="auto"/>
              </w:divBdr>
            </w:div>
            <w:div w:id="1031959028">
              <w:marLeft w:val="0"/>
              <w:marRight w:val="0"/>
              <w:marTop w:val="0"/>
              <w:marBottom w:val="0"/>
              <w:divBdr>
                <w:top w:val="none" w:sz="0" w:space="0" w:color="auto"/>
                <w:left w:val="none" w:sz="0" w:space="0" w:color="auto"/>
                <w:bottom w:val="none" w:sz="0" w:space="0" w:color="auto"/>
                <w:right w:val="none" w:sz="0" w:space="0" w:color="auto"/>
              </w:divBdr>
            </w:div>
            <w:div w:id="1054743506">
              <w:marLeft w:val="0"/>
              <w:marRight w:val="0"/>
              <w:marTop w:val="0"/>
              <w:marBottom w:val="0"/>
              <w:divBdr>
                <w:top w:val="none" w:sz="0" w:space="0" w:color="auto"/>
                <w:left w:val="none" w:sz="0" w:space="0" w:color="auto"/>
                <w:bottom w:val="none" w:sz="0" w:space="0" w:color="auto"/>
                <w:right w:val="none" w:sz="0" w:space="0" w:color="auto"/>
              </w:divBdr>
            </w:div>
            <w:div w:id="1114329956">
              <w:marLeft w:val="0"/>
              <w:marRight w:val="0"/>
              <w:marTop w:val="0"/>
              <w:marBottom w:val="0"/>
              <w:divBdr>
                <w:top w:val="none" w:sz="0" w:space="0" w:color="auto"/>
                <w:left w:val="none" w:sz="0" w:space="0" w:color="auto"/>
                <w:bottom w:val="none" w:sz="0" w:space="0" w:color="auto"/>
                <w:right w:val="none" w:sz="0" w:space="0" w:color="auto"/>
              </w:divBdr>
            </w:div>
            <w:div w:id="1114789415">
              <w:marLeft w:val="0"/>
              <w:marRight w:val="0"/>
              <w:marTop w:val="0"/>
              <w:marBottom w:val="0"/>
              <w:divBdr>
                <w:top w:val="none" w:sz="0" w:space="0" w:color="auto"/>
                <w:left w:val="none" w:sz="0" w:space="0" w:color="auto"/>
                <w:bottom w:val="none" w:sz="0" w:space="0" w:color="auto"/>
                <w:right w:val="none" w:sz="0" w:space="0" w:color="auto"/>
              </w:divBdr>
            </w:div>
            <w:div w:id="1309169724">
              <w:marLeft w:val="0"/>
              <w:marRight w:val="0"/>
              <w:marTop w:val="0"/>
              <w:marBottom w:val="0"/>
              <w:divBdr>
                <w:top w:val="none" w:sz="0" w:space="0" w:color="auto"/>
                <w:left w:val="none" w:sz="0" w:space="0" w:color="auto"/>
                <w:bottom w:val="none" w:sz="0" w:space="0" w:color="auto"/>
                <w:right w:val="none" w:sz="0" w:space="0" w:color="auto"/>
              </w:divBdr>
            </w:div>
            <w:div w:id="1372808045">
              <w:marLeft w:val="0"/>
              <w:marRight w:val="0"/>
              <w:marTop w:val="0"/>
              <w:marBottom w:val="0"/>
              <w:divBdr>
                <w:top w:val="none" w:sz="0" w:space="0" w:color="auto"/>
                <w:left w:val="none" w:sz="0" w:space="0" w:color="auto"/>
                <w:bottom w:val="none" w:sz="0" w:space="0" w:color="auto"/>
                <w:right w:val="none" w:sz="0" w:space="0" w:color="auto"/>
              </w:divBdr>
            </w:div>
            <w:div w:id="1401715572">
              <w:marLeft w:val="0"/>
              <w:marRight w:val="0"/>
              <w:marTop w:val="0"/>
              <w:marBottom w:val="0"/>
              <w:divBdr>
                <w:top w:val="none" w:sz="0" w:space="0" w:color="auto"/>
                <w:left w:val="none" w:sz="0" w:space="0" w:color="auto"/>
                <w:bottom w:val="none" w:sz="0" w:space="0" w:color="auto"/>
                <w:right w:val="none" w:sz="0" w:space="0" w:color="auto"/>
              </w:divBdr>
            </w:div>
            <w:div w:id="1849907763">
              <w:marLeft w:val="0"/>
              <w:marRight w:val="0"/>
              <w:marTop w:val="0"/>
              <w:marBottom w:val="0"/>
              <w:divBdr>
                <w:top w:val="none" w:sz="0" w:space="0" w:color="auto"/>
                <w:left w:val="none" w:sz="0" w:space="0" w:color="auto"/>
                <w:bottom w:val="none" w:sz="0" w:space="0" w:color="auto"/>
                <w:right w:val="none" w:sz="0" w:space="0" w:color="auto"/>
              </w:divBdr>
            </w:div>
            <w:div w:id="1942372531">
              <w:marLeft w:val="0"/>
              <w:marRight w:val="0"/>
              <w:marTop w:val="0"/>
              <w:marBottom w:val="0"/>
              <w:divBdr>
                <w:top w:val="none" w:sz="0" w:space="0" w:color="auto"/>
                <w:left w:val="none" w:sz="0" w:space="0" w:color="auto"/>
                <w:bottom w:val="none" w:sz="0" w:space="0" w:color="auto"/>
                <w:right w:val="none" w:sz="0" w:space="0" w:color="auto"/>
              </w:divBdr>
            </w:div>
            <w:div w:id="2038047333">
              <w:marLeft w:val="0"/>
              <w:marRight w:val="0"/>
              <w:marTop w:val="0"/>
              <w:marBottom w:val="0"/>
              <w:divBdr>
                <w:top w:val="none" w:sz="0" w:space="0" w:color="auto"/>
                <w:left w:val="none" w:sz="0" w:space="0" w:color="auto"/>
                <w:bottom w:val="none" w:sz="0" w:space="0" w:color="auto"/>
                <w:right w:val="none" w:sz="0" w:space="0" w:color="auto"/>
              </w:divBdr>
            </w:div>
            <w:div w:id="2078823326">
              <w:marLeft w:val="0"/>
              <w:marRight w:val="0"/>
              <w:marTop w:val="0"/>
              <w:marBottom w:val="0"/>
              <w:divBdr>
                <w:top w:val="none" w:sz="0" w:space="0" w:color="auto"/>
                <w:left w:val="none" w:sz="0" w:space="0" w:color="auto"/>
                <w:bottom w:val="none" w:sz="0" w:space="0" w:color="auto"/>
                <w:right w:val="none" w:sz="0" w:space="0" w:color="auto"/>
              </w:divBdr>
            </w:div>
          </w:divsChild>
        </w:div>
        <w:div w:id="585572710">
          <w:marLeft w:val="0"/>
          <w:marRight w:val="0"/>
          <w:marTop w:val="0"/>
          <w:marBottom w:val="0"/>
          <w:divBdr>
            <w:top w:val="none" w:sz="0" w:space="0" w:color="auto"/>
            <w:left w:val="none" w:sz="0" w:space="0" w:color="auto"/>
            <w:bottom w:val="none" w:sz="0" w:space="0" w:color="auto"/>
            <w:right w:val="none" w:sz="0" w:space="0" w:color="auto"/>
          </w:divBdr>
          <w:divsChild>
            <w:div w:id="826089682">
              <w:marLeft w:val="0"/>
              <w:marRight w:val="0"/>
              <w:marTop w:val="0"/>
              <w:marBottom w:val="0"/>
              <w:divBdr>
                <w:top w:val="none" w:sz="0" w:space="0" w:color="auto"/>
                <w:left w:val="none" w:sz="0" w:space="0" w:color="auto"/>
                <w:bottom w:val="none" w:sz="0" w:space="0" w:color="auto"/>
                <w:right w:val="none" w:sz="0" w:space="0" w:color="auto"/>
              </w:divBdr>
            </w:div>
            <w:div w:id="108029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104365">
      <w:bodyDiv w:val="1"/>
      <w:marLeft w:val="0"/>
      <w:marRight w:val="0"/>
      <w:marTop w:val="0"/>
      <w:marBottom w:val="0"/>
      <w:divBdr>
        <w:top w:val="none" w:sz="0" w:space="0" w:color="auto"/>
        <w:left w:val="none" w:sz="0" w:space="0" w:color="auto"/>
        <w:bottom w:val="none" w:sz="0" w:space="0" w:color="auto"/>
        <w:right w:val="none" w:sz="0" w:space="0" w:color="auto"/>
      </w:divBdr>
    </w:div>
    <w:div w:id="1288318543">
      <w:bodyDiv w:val="1"/>
      <w:marLeft w:val="0"/>
      <w:marRight w:val="0"/>
      <w:marTop w:val="0"/>
      <w:marBottom w:val="0"/>
      <w:divBdr>
        <w:top w:val="none" w:sz="0" w:space="0" w:color="auto"/>
        <w:left w:val="none" w:sz="0" w:space="0" w:color="auto"/>
        <w:bottom w:val="none" w:sz="0" w:space="0" w:color="auto"/>
        <w:right w:val="none" w:sz="0" w:space="0" w:color="auto"/>
      </w:divBdr>
    </w:div>
    <w:div w:id="1310938309">
      <w:bodyDiv w:val="1"/>
      <w:marLeft w:val="0"/>
      <w:marRight w:val="0"/>
      <w:marTop w:val="0"/>
      <w:marBottom w:val="0"/>
      <w:divBdr>
        <w:top w:val="none" w:sz="0" w:space="0" w:color="auto"/>
        <w:left w:val="none" w:sz="0" w:space="0" w:color="auto"/>
        <w:bottom w:val="none" w:sz="0" w:space="0" w:color="auto"/>
        <w:right w:val="none" w:sz="0" w:space="0" w:color="auto"/>
      </w:divBdr>
    </w:div>
    <w:div w:id="1340740586">
      <w:bodyDiv w:val="1"/>
      <w:marLeft w:val="0"/>
      <w:marRight w:val="0"/>
      <w:marTop w:val="0"/>
      <w:marBottom w:val="0"/>
      <w:divBdr>
        <w:top w:val="none" w:sz="0" w:space="0" w:color="auto"/>
        <w:left w:val="none" w:sz="0" w:space="0" w:color="auto"/>
        <w:bottom w:val="none" w:sz="0" w:space="0" w:color="auto"/>
        <w:right w:val="none" w:sz="0" w:space="0" w:color="auto"/>
      </w:divBdr>
    </w:div>
    <w:div w:id="1350520781">
      <w:bodyDiv w:val="1"/>
      <w:marLeft w:val="0"/>
      <w:marRight w:val="0"/>
      <w:marTop w:val="0"/>
      <w:marBottom w:val="0"/>
      <w:divBdr>
        <w:top w:val="none" w:sz="0" w:space="0" w:color="auto"/>
        <w:left w:val="none" w:sz="0" w:space="0" w:color="auto"/>
        <w:bottom w:val="none" w:sz="0" w:space="0" w:color="auto"/>
        <w:right w:val="none" w:sz="0" w:space="0" w:color="auto"/>
      </w:divBdr>
    </w:div>
    <w:div w:id="1351104450">
      <w:bodyDiv w:val="1"/>
      <w:marLeft w:val="0"/>
      <w:marRight w:val="0"/>
      <w:marTop w:val="0"/>
      <w:marBottom w:val="0"/>
      <w:divBdr>
        <w:top w:val="none" w:sz="0" w:space="0" w:color="auto"/>
        <w:left w:val="none" w:sz="0" w:space="0" w:color="auto"/>
        <w:bottom w:val="none" w:sz="0" w:space="0" w:color="auto"/>
        <w:right w:val="none" w:sz="0" w:space="0" w:color="auto"/>
      </w:divBdr>
    </w:div>
    <w:div w:id="1483426337">
      <w:bodyDiv w:val="1"/>
      <w:marLeft w:val="0"/>
      <w:marRight w:val="0"/>
      <w:marTop w:val="0"/>
      <w:marBottom w:val="0"/>
      <w:divBdr>
        <w:top w:val="none" w:sz="0" w:space="0" w:color="auto"/>
        <w:left w:val="none" w:sz="0" w:space="0" w:color="auto"/>
        <w:bottom w:val="none" w:sz="0" w:space="0" w:color="auto"/>
        <w:right w:val="none" w:sz="0" w:space="0" w:color="auto"/>
      </w:divBdr>
    </w:div>
    <w:div w:id="1491827611">
      <w:bodyDiv w:val="1"/>
      <w:marLeft w:val="0"/>
      <w:marRight w:val="0"/>
      <w:marTop w:val="0"/>
      <w:marBottom w:val="0"/>
      <w:divBdr>
        <w:top w:val="none" w:sz="0" w:space="0" w:color="auto"/>
        <w:left w:val="none" w:sz="0" w:space="0" w:color="auto"/>
        <w:bottom w:val="none" w:sz="0" w:space="0" w:color="auto"/>
        <w:right w:val="none" w:sz="0" w:space="0" w:color="auto"/>
      </w:divBdr>
      <w:divsChild>
        <w:div w:id="9646183">
          <w:marLeft w:val="0"/>
          <w:marRight w:val="0"/>
          <w:marTop w:val="0"/>
          <w:marBottom w:val="0"/>
          <w:divBdr>
            <w:top w:val="none" w:sz="0" w:space="0" w:color="auto"/>
            <w:left w:val="none" w:sz="0" w:space="0" w:color="auto"/>
            <w:bottom w:val="none" w:sz="0" w:space="0" w:color="auto"/>
            <w:right w:val="none" w:sz="0" w:space="0" w:color="auto"/>
          </w:divBdr>
        </w:div>
        <w:div w:id="1935480332">
          <w:marLeft w:val="0"/>
          <w:marRight w:val="0"/>
          <w:marTop w:val="0"/>
          <w:marBottom w:val="0"/>
          <w:divBdr>
            <w:top w:val="none" w:sz="0" w:space="0" w:color="auto"/>
            <w:left w:val="none" w:sz="0" w:space="0" w:color="auto"/>
            <w:bottom w:val="none" w:sz="0" w:space="0" w:color="auto"/>
            <w:right w:val="none" w:sz="0" w:space="0" w:color="auto"/>
          </w:divBdr>
        </w:div>
        <w:div w:id="2013408829">
          <w:marLeft w:val="0"/>
          <w:marRight w:val="0"/>
          <w:marTop w:val="0"/>
          <w:marBottom w:val="0"/>
          <w:divBdr>
            <w:top w:val="none" w:sz="0" w:space="0" w:color="auto"/>
            <w:left w:val="none" w:sz="0" w:space="0" w:color="auto"/>
            <w:bottom w:val="none" w:sz="0" w:space="0" w:color="auto"/>
            <w:right w:val="none" w:sz="0" w:space="0" w:color="auto"/>
          </w:divBdr>
        </w:div>
      </w:divsChild>
    </w:div>
    <w:div w:id="1527401051">
      <w:bodyDiv w:val="1"/>
      <w:marLeft w:val="0"/>
      <w:marRight w:val="0"/>
      <w:marTop w:val="0"/>
      <w:marBottom w:val="0"/>
      <w:divBdr>
        <w:top w:val="none" w:sz="0" w:space="0" w:color="auto"/>
        <w:left w:val="none" w:sz="0" w:space="0" w:color="auto"/>
        <w:bottom w:val="none" w:sz="0" w:space="0" w:color="auto"/>
        <w:right w:val="none" w:sz="0" w:space="0" w:color="auto"/>
      </w:divBdr>
    </w:div>
    <w:div w:id="1543128182">
      <w:bodyDiv w:val="1"/>
      <w:marLeft w:val="0"/>
      <w:marRight w:val="0"/>
      <w:marTop w:val="0"/>
      <w:marBottom w:val="0"/>
      <w:divBdr>
        <w:top w:val="none" w:sz="0" w:space="0" w:color="auto"/>
        <w:left w:val="none" w:sz="0" w:space="0" w:color="auto"/>
        <w:bottom w:val="none" w:sz="0" w:space="0" w:color="auto"/>
        <w:right w:val="none" w:sz="0" w:space="0" w:color="auto"/>
      </w:divBdr>
      <w:divsChild>
        <w:div w:id="1905483978">
          <w:marLeft w:val="0"/>
          <w:marRight w:val="0"/>
          <w:marTop w:val="0"/>
          <w:marBottom w:val="0"/>
          <w:divBdr>
            <w:top w:val="none" w:sz="0" w:space="0" w:color="auto"/>
            <w:left w:val="none" w:sz="0" w:space="0" w:color="auto"/>
            <w:bottom w:val="none" w:sz="0" w:space="0" w:color="auto"/>
            <w:right w:val="none" w:sz="0" w:space="0" w:color="auto"/>
          </w:divBdr>
        </w:div>
      </w:divsChild>
    </w:div>
    <w:div w:id="1573470333">
      <w:bodyDiv w:val="1"/>
      <w:marLeft w:val="0"/>
      <w:marRight w:val="0"/>
      <w:marTop w:val="0"/>
      <w:marBottom w:val="0"/>
      <w:divBdr>
        <w:top w:val="none" w:sz="0" w:space="0" w:color="auto"/>
        <w:left w:val="none" w:sz="0" w:space="0" w:color="auto"/>
        <w:bottom w:val="none" w:sz="0" w:space="0" w:color="auto"/>
        <w:right w:val="none" w:sz="0" w:space="0" w:color="auto"/>
      </w:divBdr>
    </w:div>
    <w:div w:id="1616979985">
      <w:bodyDiv w:val="1"/>
      <w:marLeft w:val="0"/>
      <w:marRight w:val="0"/>
      <w:marTop w:val="0"/>
      <w:marBottom w:val="0"/>
      <w:divBdr>
        <w:top w:val="none" w:sz="0" w:space="0" w:color="auto"/>
        <w:left w:val="none" w:sz="0" w:space="0" w:color="auto"/>
        <w:bottom w:val="none" w:sz="0" w:space="0" w:color="auto"/>
        <w:right w:val="none" w:sz="0" w:space="0" w:color="auto"/>
      </w:divBdr>
      <w:divsChild>
        <w:div w:id="1563632872">
          <w:marLeft w:val="0"/>
          <w:marRight w:val="0"/>
          <w:marTop w:val="0"/>
          <w:marBottom w:val="0"/>
          <w:divBdr>
            <w:top w:val="none" w:sz="0" w:space="0" w:color="auto"/>
            <w:left w:val="none" w:sz="0" w:space="0" w:color="auto"/>
            <w:bottom w:val="none" w:sz="0" w:space="0" w:color="auto"/>
            <w:right w:val="none" w:sz="0" w:space="0" w:color="auto"/>
          </w:divBdr>
        </w:div>
        <w:div w:id="1572231240">
          <w:marLeft w:val="0"/>
          <w:marRight w:val="0"/>
          <w:marTop w:val="0"/>
          <w:marBottom w:val="0"/>
          <w:divBdr>
            <w:top w:val="none" w:sz="0" w:space="0" w:color="auto"/>
            <w:left w:val="none" w:sz="0" w:space="0" w:color="auto"/>
            <w:bottom w:val="none" w:sz="0" w:space="0" w:color="auto"/>
            <w:right w:val="none" w:sz="0" w:space="0" w:color="auto"/>
          </w:divBdr>
        </w:div>
        <w:div w:id="1880431240">
          <w:marLeft w:val="0"/>
          <w:marRight w:val="0"/>
          <w:marTop w:val="0"/>
          <w:marBottom w:val="0"/>
          <w:divBdr>
            <w:top w:val="none" w:sz="0" w:space="0" w:color="auto"/>
            <w:left w:val="none" w:sz="0" w:space="0" w:color="auto"/>
            <w:bottom w:val="none" w:sz="0" w:space="0" w:color="auto"/>
            <w:right w:val="none" w:sz="0" w:space="0" w:color="auto"/>
          </w:divBdr>
        </w:div>
      </w:divsChild>
    </w:div>
    <w:div w:id="1623610278">
      <w:bodyDiv w:val="1"/>
      <w:marLeft w:val="0"/>
      <w:marRight w:val="0"/>
      <w:marTop w:val="0"/>
      <w:marBottom w:val="0"/>
      <w:divBdr>
        <w:top w:val="none" w:sz="0" w:space="0" w:color="auto"/>
        <w:left w:val="none" w:sz="0" w:space="0" w:color="auto"/>
        <w:bottom w:val="none" w:sz="0" w:space="0" w:color="auto"/>
        <w:right w:val="none" w:sz="0" w:space="0" w:color="auto"/>
      </w:divBdr>
    </w:div>
    <w:div w:id="1623682783">
      <w:bodyDiv w:val="1"/>
      <w:marLeft w:val="0"/>
      <w:marRight w:val="0"/>
      <w:marTop w:val="0"/>
      <w:marBottom w:val="0"/>
      <w:divBdr>
        <w:top w:val="none" w:sz="0" w:space="0" w:color="auto"/>
        <w:left w:val="none" w:sz="0" w:space="0" w:color="auto"/>
        <w:bottom w:val="none" w:sz="0" w:space="0" w:color="auto"/>
        <w:right w:val="none" w:sz="0" w:space="0" w:color="auto"/>
      </w:divBdr>
    </w:div>
    <w:div w:id="1635452413">
      <w:bodyDiv w:val="1"/>
      <w:marLeft w:val="0"/>
      <w:marRight w:val="0"/>
      <w:marTop w:val="0"/>
      <w:marBottom w:val="0"/>
      <w:divBdr>
        <w:top w:val="none" w:sz="0" w:space="0" w:color="auto"/>
        <w:left w:val="none" w:sz="0" w:space="0" w:color="auto"/>
        <w:bottom w:val="none" w:sz="0" w:space="0" w:color="auto"/>
        <w:right w:val="none" w:sz="0" w:space="0" w:color="auto"/>
      </w:divBdr>
      <w:divsChild>
        <w:div w:id="142042996">
          <w:marLeft w:val="0"/>
          <w:marRight w:val="0"/>
          <w:marTop w:val="0"/>
          <w:marBottom w:val="0"/>
          <w:divBdr>
            <w:top w:val="none" w:sz="0" w:space="0" w:color="auto"/>
            <w:left w:val="none" w:sz="0" w:space="0" w:color="auto"/>
            <w:bottom w:val="none" w:sz="0" w:space="0" w:color="auto"/>
            <w:right w:val="none" w:sz="0" w:space="0" w:color="auto"/>
          </w:divBdr>
        </w:div>
        <w:div w:id="861748252">
          <w:marLeft w:val="0"/>
          <w:marRight w:val="0"/>
          <w:marTop w:val="0"/>
          <w:marBottom w:val="0"/>
          <w:divBdr>
            <w:top w:val="none" w:sz="0" w:space="0" w:color="auto"/>
            <w:left w:val="none" w:sz="0" w:space="0" w:color="auto"/>
            <w:bottom w:val="none" w:sz="0" w:space="0" w:color="auto"/>
            <w:right w:val="none" w:sz="0" w:space="0" w:color="auto"/>
          </w:divBdr>
        </w:div>
        <w:div w:id="1648968893">
          <w:marLeft w:val="0"/>
          <w:marRight w:val="0"/>
          <w:marTop w:val="0"/>
          <w:marBottom w:val="0"/>
          <w:divBdr>
            <w:top w:val="none" w:sz="0" w:space="0" w:color="auto"/>
            <w:left w:val="none" w:sz="0" w:space="0" w:color="auto"/>
            <w:bottom w:val="none" w:sz="0" w:space="0" w:color="auto"/>
            <w:right w:val="none" w:sz="0" w:space="0" w:color="auto"/>
          </w:divBdr>
        </w:div>
      </w:divsChild>
    </w:div>
    <w:div w:id="1650747392">
      <w:bodyDiv w:val="1"/>
      <w:marLeft w:val="0"/>
      <w:marRight w:val="0"/>
      <w:marTop w:val="0"/>
      <w:marBottom w:val="0"/>
      <w:divBdr>
        <w:top w:val="none" w:sz="0" w:space="0" w:color="auto"/>
        <w:left w:val="none" w:sz="0" w:space="0" w:color="auto"/>
        <w:bottom w:val="none" w:sz="0" w:space="0" w:color="auto"/>
        <w:right w:val="none" w:sz="0" w:space="0" w:color="auto"/>
      </w:divBdr>
    </w:div>
    <w:div w:id="1674140845">
      <w:bodyDiv w:val="1"/>
      <w:marLeft w:val="0"/>
      <w:marRight w:val="0"/>
      <w:marTop w:val="0"/>
      <w:marBottom w:val="0"/>
      <w:divBdr>
        <w:top w:val="none" w:sz="0" w:space="0" w:color="auto"/>
        <w:left w:val="none" w:sz="0" w:space="0" w:color="auto"/>
        <w:bottom w:val="none" w:sz="0" w:space="0" w:color="auto"/>
        <w:right w:val="none" w:sz="0" w:space="0" w:color="auto"/>
      </w:divBdr>
    </w:div>
    <w:div w:id="1711956183">
      <w:bodyDiv w:val="1"/>
      <w:marLeft w:val="0"/>
      <w:marRight w:val="0"/>
      <w:marTop w:val="0"/>
      <w:marBottom w:val="0"/>
      <w:divBdr>
        <w:top w:val="none" w:sz="0" w:space="0" w:color="auto"/>
        <w:left w:val="none" w:sz="0" w:space="0" w:color="auto"/>
        <w:bottom w:val="none" w:sz="0" w:space="0" w:color="auto"/>
        <w:right w:val="none" w:sz="0" w:space="0" w:color="auto"/>
      </w:divBdr>
    </w:div>
    <w:div w:id="1797874624">
      <w:bodyDiv w:val="1"/>
      <w:marLeft w:val="0"/>
      <w:marRight w:val="0"/>
      <w:marTop w:val="0"/>
      <w:marBottom w:val="0"/>
      <w:divBdr>
        <w:top w:val="none" w:sz="0" w:space="0" w:color="auto"/>
        <w:left w:val="none" w:sz="0" w:space="0" w:color="auto"/>
        <w:bottom w:val="none" w:sz="0" w:space="0" w:color="auto"/>
        <w:right w:val="none" w:sz="0" w:space="0" w:color="auto"/>
      </w:divBdr>
    </w:div>
    <w:div w:id="1802266017">
      <w:bodyDiv w:val="1"/>
      <w:marLeft w:val="0"/>
      <w:marRight w:val="0"/>
      <w:marTop w:val="0"/>
      <w:marBottom w:val="0"/>
      <w:divBdr>
        <w:top w:val="none" w:sz="0" w:space="0" w:color="auto"/>
        <w:left w:val="none" w:sz="0" w:space="0" w:color="auto"/>
        <w:bottom w:val="none" w:sz="0" w:space="0" w:color="auto"/>
        <w:right w:val="none" w:sz="0" w:space="0" w:color="auto"/>
      </w:divBdr>
    </w:div>
    <w:div w:id="1834763397">
      <w:bodyDiv w:val="1"/>
      <w:marLeft w:val="0"/>
      <w:marRight w:val="0"/>
      <w:marTop w:val="0"/>
      <w:marBottom w:val="0"/>
      <w:divBdr>
        <w:top w:val="none" w:sz="0" w:space="0" w:color="auto"/>
        <w:left w:val="none" w:sz="0" w:space="0" w:color="auto"/>
        <w:bottom w:val="none" w:sz="0" w:space="0" w:color="auto"/>
        <w:right w:val="none" w:sz="0" w:space="0" w:color="auto"/>
      </w:divBdr>
    </w:div>
    <w:div w:id="1861701516">
      <w:bodyDiv w:val="1"/>
      <w:marLeft w:val="0"/>
      <w:marRight w:val="0"/>
      <w:marTop w:val="0"/>
      <w:marBottom w:val="0"/>
      <w:divBdr>
        <w:top w:val="none" w:sz="0" w:space="0" w:color="auto"/>
        <w:left w:val="none" w:sz="0" w:space="0" w:color="auto"/>
        <w:bottom w:val="none" w:sz="0" w:space="0" w:color="auto"/>
        <w:right w:val="none" w:sz="0" w:space="0" w:color="auto"/>
      </w:divBdr>
    </w:div>
    <w:div w:id="1889486665">
      <w:bodyDiv w:val="1"/>
      <w:marLeft w:val="0"/>
      <w:marRight w:val="0"/>
      <w:marTop w:val="0"/>
      <w:marBottom w:val="0"/>
      <w:divBdr>
        <w:top w:val="none" w:sz="0" w:space="0" w:color="auto"/>
        <w:left w:val="none" w:sz="0" w:space="0" w:color="auto"/>
        <w:bottom w:val="none" w:sz="0" w:space="0" w:color="auto"/>
        <w:right w:val="none" w:sz="0" w:space="0" w:color="auto"/>
      </w:divBdr>
    </w:div>
    <w:div w:id="1900557724">
      <w:bodyDiv w:val="1"/>
      <w:marLeft w:val="0"/>
      <w:marRight w:val="0"/>
      <w:marTop w:val="0"/>
      <w:marBottom w:val="0"/>
      <w:divBdr>
        <w:top w:val="none" w:sz="0" w:space="0" w:color="auto"/>
        <w:left w:val="none" w:sz="0" w:space="0" w:color="auto"/>
        <w:bottom w:val="none" w:sz="0" w:space="0" w:color="auto"/>
        <w:right w:val="none" w:sz="0" w:space="0" w:color="auto"/>
      </w:divBdr>
    </w:div>
    <w:div w:id="1906066941">
      <w:bodyDiv w:val="1"/>
      <w:marLeft w:val="0"/>
      <w:marRight w:val="0"/>
      <w:marTop w:val="0"/>
      <w:marBottom w:val="0"/>
      <w:divBdr>
        <w:top w:val="none" w:sz="0" w:space="0" w:color="auto"/>
        <w:left w:val="none" w:sz="0" w:space="0" w:color="auto"/>
        <w:bottom w:val="none" w:sz="0" w:space="0" w:color="auto"/>
        <w:right w:val="none" w:sz="0" w:space="0" w:color="auto"/>
      </w:divBdr>
      <w:divsChild>
        <w:div w:id="612785370">
          <w:marLeft w:val="0"/>
          <w:marRight w:val="0"/>
          <w:marTop w:val="0"/>
          <w:marBottom w:val="0"/>
          <w:divBdr>
            <w:top w:val="none" w:sz="0" w:space="0" w:color="auto"/>
            <w:left w:val="none" w:sz="0" w:space="0" w:color="auto"/>
            <w:bottom w:val="none" w:sz="0" w:space="0" w:color="auto"/>
            <w:right w:val="none" w:sz="0" w:space="0" w:color="auto"/>
          </w:divBdr>
        </w:div>
        <w:div w:id="1081951566">
          <w:marLeft w:val="0"/>
          <w:marRight w:val="0"/>
          <w:marTop w:val="0"/>
          <w:marBottom w:val="0"/>
          <w:divBdr>
            <w:top w:val="none" w:sz="0" w:space="0" w:color="auto"/>
            <w:left w:val="none" w:sz="0" w:space="0" w:color="auto"/>
            <w:bottom w:val="none" w:sz="0" w:space="0" w:color="auto"/>
            <w:right w:val="none" w:sz="0" w:space="0" w:color="auto"/>
          </w:divBdr>
        </w:div>
        <w:div w:id="1406100366">
          <w:marLeft w:val="0"/>
          <w:marRight w:val="0"/>
          <w:marTop w:val="0"/>
          <w:marBottom w:val="0"/>
          <w:divBdr>
            <w:top w:val="none" w:sz="0" w:space="0" w:color="auto"/>
            <w:left w:val="none" w:sz="0" w:space="0" w:color="auto"/>
            <w:bottom w:val="none" w:sz="0" w:space="0" w:color="auto"/>
            <w:right w:val="none" w:sz="0" w:space="0" w:color="auto"/>
          </w:divBdr>
        </w:div>
      </w:divsChild>
    </w:div>
    <w:div w:id="1913075926">
      <w:bodyDiv w:val="1"/>
      <w:marLeft w:val="0"/>
      <w:marRight w:val="0"/>
      <w:marTop w:val="0"/>
      <w:marBottom w:val="0"/>
      <w:divBdr>
        <w:top w:val="none" w:sz="0" w:space="0" w:color="auto"/>
        <w:left w:val="none" w:sz="0" w:space="0" w:color="auto"/>
        <w:bottom w:val="none" w:sz="0" w:space="0" w:color="auto"/>
        <w:right w:val="none" w:sz="0" w:space="0" w:color="auto"/>
      </w:divBdr>
    </w:div>
    <w:div w:id="1923756792">
      <w:bodyDiv w:val="1"/>
      <w:marLeft w:val="0"/>
      <w:marRight w:val="0"/>
      <w:marTop w:val="0"/>
      <w:marBottom w:val="0"/>
      <w:divBdr>
        <w:top w:val="none" w:sz="0" w:space="0" w:color="auto"/>
        <w:left w:val="none" w:sz="0" w:space="0" w:color="auto"/>
        <w:bottom w:val="none" w:sz="0" w:space="0" w:color="auto"/>
        <w:right w:val="none" w:sz="0" w:space="0" w:color="auto"/>
      </w:divBdr>
    </w:div>
    <w:div w:id="1981837107">
      <w:bodyDiv w:val="1"/>
      <w:marLeft w:val="0"/>
      <w:marRight w:val="0"/>
      <w:marTop w:val="0"/>
      <w:marBottom w:val="0"/>
      <w:divBdr>
        <w:top w:val="none" w:sz="0" w:space="0" w:color="auto"/>
        <w:left w:val="none" w:sz="0" w:space="0" w:color="auto"/>
        <w:bottom w:val="none" w:sz="0" w:space="0" w:color="auto"/>
        <w:right w:val="none" w:sz="0" w:space="0" w:color="auto"/>
      </w:divBdr>
    </w:div>
    <w:div w:id="1999459413">
      <w:bodyDiv w:val="1"/>
      <w:marLeft w:val="0"/>
      <w:marRight w:val="0"/>
      <w:marTop w:val="0"/>
      <w:marBottom w:val="0"/>
      <w:divBdr>
        <w:top w:val="none" w:sz="0" w:space="0" w:color="auto"/>
        <w:left w:val="none" w:sz="0" w:space="0" w:color="auto"/>
        <w:bottom w:val="none" w:sz="0" w:space="0" w:color="auto"/>
        <w:right w:val="none" w:sz="0" w:space="0" w:color="auto"/>
      </w:divBdr>
    </w:div>
    <w:div w:id="2035687748">
      <w:bodyDiv w:val="1"/>
      <w:marLeft w:val="0"/>
      <w:marRight w:val="0"/>
      <w:marTop w:val="0"/>
      <w:marBottom w:val="0"/>
      <w:divBdr>
        <w:top w:val="none" w:sz="0" w:space="0" w:color="auto"/>
        <w:left w:val="none" w:sz="0" w:space="0" w:color="auto"/>
        <w:bottom w:val="none" w:sz="0" w:space="0" w:color="auto"/>
        <w:right w:val="none" w:sz="0" w:space="0" w:color="auto"/>
      </w:divBdr>
      <w:divsChild>
        <w:div w:id="1738630481">
          <w:marLeft w:val="0"/>
          <w:marRight w:val="0"/>
          <w:marTop w:val="0"/>
          <w:marBottom w:val="0"/>
          <w:divBdr>
            <w:top w:val="none" w:sz="0" w:space="0" w:color="auto"/>
            <w:left w:val="none" w:sz="0" w:space="0" w:color="auto"/>
            <w:bottom w:val="none" w:sz="0" w:space="0" w:color="auto"/>
            <w:right w:val="none" w:sz="0" w:space="0" w:color="auto"/>
          </w:divBdr>
        </w:div>
        <w:div w:id="2118479769">
          <w:marLeft w:val="0"/>
          <w:marRight w:val="0"/>
          <w:marTop w:val="0"/>
          <w:marBottom w:val="0"/>
          <w:divBdr>
            <w:top w:val="none" w:sz="0" w:space="0" w:color="auto"/>
            <w:left w:val="none" w:sz="0" w:space="0" w:color="auto"/>
            <w:bottom w:val="none" w:sz="0" w:space="0" w:color="auto"/>
            <w:right w:val="none" w:sz="0" w:space="0" w:color="auto"/>
          </w:divBdr>
        </w:div>
      </w:divsChild>
    </w:div>
    <w:div w:id="2078555189">
      <w:bodyDiv w:val="1"/>
      <w:marLeft w:val="0"/>
      <w:marRight w:val="0"/>
      <w:marTop w:val="0"/>
      <w:marBottom w:val="0"/>
      <w:divBdr>
        <w:top w:val="none" w:sz="0" w:space="0" w:color="auto"/>
        <w:left w:val="none" w:sz="0" w:space="0" w:color="auto"/>
        <w:bottom w:val="none" w:sz="0" w:space="0" w:color="auto"/>
        <w:right w:val="none" w:sz="0" w:space="0" w:color="auto"/>
      </w:divBdr>
    </w:div>
    <w:div w:id="2098549223">
      <w:bodyDiv w:val="1"/>
      <w:marLeft w:val="0"/>
      <w:marRight w:val="0"/>
      <w:marTop w:val="0"/>
      <w:marBottom w:val="0"/>
      <w:divBdr>
        <w:top w:val="none" w:sz="0" w:space="0" w:color="auto"/>
        <w:left w:val="none" w:sz="0" w:space="0" w:color="auto"/>
        <w:bottom w:val="none" w:sz="0" w:space="0" w:color="auto"/>
        <w:right w:val="none" w:sz="0" w:space="0" w:color="auto"/>
      </w:divBdr>
    </w:div>
    <w:div w:id="2117823328">
      <w:bodyDiv w:val="1"/>
      <w:marLeft w:val="0"/>
      <w:marRight w:val="0"/>
      <w:marTop w:val="0"/>
      <w:marBottom w:val="0"/>
      <w:divBdr>
        <w:top w:val="none" w:sz="0" w:space="0" w:color="auto"/>
        <w:left w:val="none" w:sz="0" w:space="0" w:color="auto"/>
        <w:bottom w:val="none" w:sz="0" w:space="0" w:color="auto"/>
        <w:right w:val="none" w:sz="0" w:space="0" w:color="auto"/>
      </w:divBdr>
      <w:divsChild>
        <w:div w:id="338851037">
          <w:marLeft w:val="0"/>
          <w:marRight w:val="0"/>
          <w:marTop w:val="0"/>
          <w:marBottom w:val="0"/>
          <w:divBdr>
            <w:top w:val="none" w:sz="0" w:space="0" w:color="auto"/>
            <w:left w:val="none" w:sz="0" w:space="0" w:color="auto"/>
            <w:bottom w:val="none" w:sz="0" w:space="0" w:color="auto"/>
            <w:right w:val="none" w:sz="0" w:space="0" w:color="auto"/>
          </w:divBdr>
        </w:div>
        <w:div w:id="1565138679">
          <w:marLeft w:val="0"/>
          <w:marRight w:val="0"/>
          <w:marTop w:val="0"/>
          <w:marBottom w:val="0"/>
          <w:divBdr>
            <w:top w:val="none" w:sz="0" w:space="0" w:color="auto"/>
            <w:left w:val="none" w:sz="0" w:space="0" w:color="auto"/>
            <w:bottom w:val="none" w:sz="0" w:space="0" w:color="auto"/>
            <w:right w:val="none" w:sz="0" w:space="0" w:color="auto"/>
          </w:divBdr>
        </w:div>
        <w:div w:id="2048748992">
          <w:marLeft w:val="0"/>
          <w:marRight w:val="0"/>
          <w:marTop w:val="0"/>
          <w:marBottom w:val="0"/>
          <w:divBdr>
            <w:top w:val="none" w:sz="0" w:space="0" w:color="auto"/>
            <w:left w:val="none" w:sz="0" w:space="0" w:color="auto"/>
            <w:bottom w:val="none" w:sz="0" w:space="0" w:color="auto"/>
            <w:right w:val="none" w:sz="0" w:space="0" w:color="auto"/>
          </w:divBdr>
        </w:div>
      </w:divsChild>
    </w:div>
    <w:div w:id="2120685377">
      <w:bodyDiv w:val="1"/>
      <w:marLeft w:val="0"/>
      <w:marRight w:val="0"/>
      <w:marTop w:val="0"/>
      <w:marBottom w:val="0"/>
      <w:divBdr>
        <w:top w:val="none" w:sz="0" w:space="0" w:color="auto"/>
        <w:left w:val="none" w:sz="0" w:space="0" w:color="auto"/>
        <w:bottom w:val="none" w:sz="0" w:space="0" w:color="auto"/>
        <w:right w:val="none" w:sz="0" w:space="0" w:color="auto"/>
      </w:divBdr>
    </w:div>
    <w:div w:id="213532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nhsd-confluence.digital.nhs.uk/spaces/CLP/pages/1121401300/NIR+Observability+and+Logging+Strategy" TargetMode="External"/><Relationship Id="rId26" Type="http://schemas.openxmlformats.org/officeDocument/2006/relationships/hyperlink" Target="https://nhsd-confluence.digital.nhs.uk/spaces/CLP/pages/1098875238/UAT-+Test+Pack" TargetMode="External"/><Relationship Id="rId39" Type="http://schemas.openxmlformats.org/officeDocument/2006/relationships/image" Target="media/image3.png"/><Relationship Id="rId21" Type="http://schemas.openxmlformats.org/officeDocument/2006/relationships/hyperlink" Target="https://nhsd-confluence.digital.nhs.uk/spaces/CLP/pages/1111209985/NIR+-+References" TargetMode="External"/><Relationship Id="rId34" Type="http://schemas.openxmlformats.org/officeDocument/2006/relationships/hyperlink" Target="https://nhsd-confluence.digital.nhs.uk/spaces/CLP/pages/1121401325/NIR+Security+and+Compliance+Strategy" TargetMode="External"/><Relationship Id="rId42" Type="http://schemas.openxmlformats.org/officeDocument/2006/relationships/image" Target="media/image5.emf"/><Relationship Id="rId47" Type="http://schemas.openxmlformats.org/officeDocument/2006/relationships/image" Target="media/image8.png"/><Relationship Id="rId50" Type="http://schemas.openxmlformats.org/officeDocument/2006/relationships/footer" Target="footer3.xml"/><Relationship Id="rId55"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eveloper/guides-and-documentation/digital-onboarding?utm_source=chatgpt.com" TargetMode="External"/><Relationship Id="rId29" Type="http://schemas.openxmlformats.org/officeDocument/2006/relationships/hyperlink" Target="https://nhsd-confluence.digital.nhs.uk/spaces/CLP/pages/1195113158/NIR+-+Clinical+Safety+DCB+0129+and+DCB+0160" TargetMode="External"/><Relationship Id="rId11" Type="http://schemas.openxmlformats.org/officeDocument/2006/relationships/header" Target="header1.xml"/><Relationship Id="rId24" Type="http://schemas.openxmlformats.org/officeDocument/2006/relationships/hyperlink" Target="https://nhsd-confluence.digital.nhs.uk/spaces/CLP/pages/1154670369/NIR+-+New+Feature+Requirements+Process" TargetMode="External"/><Relationship Id="rId32" Type="http://schemas.openxmlformats.org/officeDocument/2006/relationships/hyperlink" Target="https://nhsd-confluence.digital.nhs.uk/spaces/CLP/pages/1195113171/Governance+R+R+Safety+Plan" TargetMode="External"/><Relationship Id="rId37" Type="http://schemas.openxmlformats.org/officeDocument/2006/relationships/hyperlink" Target="https://nhsd-confluence.digital.nhs.uk/spaces/CLP/pages/1102719581/NHSE+National+Imaging+Registry+NIR+Solution+Milestones" TargetMode="External"/><Relationship Id="rId40" Type="http://schemas.microsoft.com/office/2007/relationships/hdphoto" Target="media/hdphoto1.wdp"/><Relationship Id="rId45" Type="http://schemas.openxmlformats.org/officeDocument/2006/relationships/image" Target="media/image7.jpg"/><Relationship Id="rId53" Type="http://schemas.openxmlformats.org/officeDocument/2006/relationships/footer" Target="footer5.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nhsd-confluence.digital.nhs.uk/spaces/CLP/pages/1161766556/NIR+Error+Handling" TargetMode="External"/><Relationship Id="rId31" Type="http://schemas.openxmlformats.org/officeDocument/2006/relationships/hyperlink" Target="https://nhsd-confluence.digital.nhs.uk/spaces/CLP/pages/1208353679/NIR+-+Hazard+Assessment+Workshop+2+10+10+2025" TargetMode="External"/><Relationship Id="rId44" Type="http://schemas.openxmlformats.org/officeDocument/2006/relationships/hyperlink" Target="https://nhsd-confluence.digital.nhs.uk/spaces/CLP/pages/1102719581/NHSE+National+Imaging+Registry+NIR+Solution+Milestones" TargetMode="External"/><Relationship Id="rId52"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england.nhs.uk/long-read/digital-clinical-safety-assurance/" TargetMode="External"/><Relationship Id="rId27" Type="http://schemas.openxmlformats.org/officeDocument/2006/relationships/hyperlink" Target="https://nhsd-confluence.digital.nhs.uk/spaces/CLP/pages/1049559598/National+Imaging+Registry" TargetMode="External"/><Relationship Id="rId30" Type="http://schemas.openxmlformats.org/officeDocument/2006/relationships/hyperlink" Target="https://nhsd-confluence.digital.nhs.uk/spaces/CLP/pages/1208353642/NIR+-+Hazard+Assessment+Workshop+1+30+09+2025" TargetMode="External"/><Relationship Id="rId35" Type="http://schemas.openxmlformats.org/officeDocument/2006/relationships/hyperlink" Target="https://digital.nhs.uk/services/national-record-locator" TargetMode="External"/><Relationship Id="rId43" Type="http://schemas.openxmlformats.org/officeDocument/2006/relationships/image" Target="media/image6.png"/><Relationship Id="rId48" Type="http://schemas.openxmlformats.org/officeDocument/2006/relationships/header" Target="header4.xm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nhsd-confluence.digital.nhs.uk/spaces/CLP/pages/1128204655/NIR+Interoperability" TargetMode="External"/><Relationship Id="rId25" Type="http://schemas.openxmlformats.org/officeDocument/2006/relationships/hyperlink" Target="https://nhsd-confluence.digital.nhs.uk/spaces/CLP/pages/1187350949/NIR+Key+Operating+Procedures" TargetMode="External"/><Relationship Id="rId33" Type="http://schemas.openxmlformats.org/officeDocument/2006/relationships/hyperlink" Target="https://nhsd-confluence.digital.nhs.uk/spaces/CLP/pages/1149081087/NIR+Reporting+Management+Dashboard%C2%A0-+Requirements+Specification" TargetMode="External"/><Relationship Id="rId38" Type="http://schemas.openxmlformats.org/officeDocument/2006/relationships/hyperlink" Target="https://nhsd-confluence.digital.nhs.uk/spaces/CLP/pages/1228220389/NIR+Private+Beta+-+KPI+s" TargetMode="External"/><Relationship Id="rId46" Type="http://schemas.openxmlformats.org/officeDocument/2006/relationships/hyperlink" Target="https://digital.nhs.uk/developer/guides-and-documentation/digital-onboarding" TargetMode="External"/><Relationship Id="rId20" Type="http://schemas.openxmlformats.org/officeDocument/2006/relationships/hyperlink" Target="https://nhsd-confluence.digital.nhs.uk/spaces/CLP/pages/1098875238/UAT-+Test+Pack" TargetMode="External"/><Relationship Id="rId41" Type="http://schemas.openxmlformats.org/officeDocument/2006/relationships/image" Target="media/image4.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hyperlink" Target="https://nhsd-confluence.digital.nhs.uk/spaces/CLP/pages/1132940087/NIR+Incident+Management+Priority+Level" TargetMode="External"/><Relationship Id="rId28" Type="http://schemas.openxmlformats.org/officeDocument/2006/relationships/hyperlink" Target="https://nhsd-confluence.digital.nhs.uk/spaces/CLP/pages/1161775785/API+Catalogue+Website+Requirements" TargetMode="External"/><Relationship Id="rId36" Type="http://schemas.openxmlformats.org/officeDocument/2006/relationships/hyperlink" Target="https://nhsd-confluence.digital.nhs.uk/spaces/CLP/pages/1102719581/NHSE+National+Imaging+Registry+NIR+Solution+Milestones" TargetMode="External"/><Relationship Id="rId49" Type="http://schemas.openxmlformats.org/officeDocument/2006/relationships/header" Target="header5.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592DBE396124CA59BD7165145DAD10A"/>
        <w:category>
          <w:name w:val="General"/>
          <w:gallery w:val="placeholder"/>
        </w:category>
        <w:types>
          <w:type w:val="bbPlcHdr"/>
        </w:types>
        <w:behaviors>
          <w:behavior w:val="content"/>
        </w:behaviors>
        <w:guid w:val="{21FFA626-8CC6-4C76-9561-7570629B703B}"/>
      </w:docPartPr>
      <w:docPartBody>
        <w:p w:rsidR="00C25B88" w:rsidRDefault="00E05848">
          <w:pPr>
            <w:pStyle w:val="A592DBE396124CA59BD7165145DAD10A"/>
          </w:pPr>
          <w:r w:rsidRPr="00DD77F0">
            <w:t>Title of document</w:t>
          </w:r>
        </w:p>
      </w:docPartBody>
    </w:docPart>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20B0604020202020204"/>
    <w:charset w:val="00"/>
    <w:family w:val="swiss"/>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Quattrocento Sans">
    <w:panose1 w:val="020B0502050000020003"/>
    <w:charset w:val="00"/>
    <w:family w:val="swiss"/>
    <w:pitch w:val="variable"/>
    <w:sig w:usb0="800000BF" w:usb1="4000005B"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254D"/>
    <w:rsid w:val="00006AAF"/>
    <w:rsid w:val="00012274"/>
    <w:rsid w:val="0003010F"/>
    <w:rsid w:val="0007126C"/>
    <w:rsid w:val="000807D4"/>
    <w:rsid w:val="0008509D"/>
    <w:rsid w:val="000D3A53"/>
    <w:rsid w:val="000F14D2"/>
    <w:rsid w:val="00104490"/>
    <w:rsid w:val="001201E0"/>
    <w:rsid w:val="0012409E"/>
    <w:rsid w:val="00126F24"/>
    <w:rsid w:val="00131B3B"/>
    <w:rsid w:val="0013509A"/>
    <w:rsid w:val="001576B8"/>
    <w:rsid w:val="00157F6D"/>
    <w:rsid w:val="00171743"/>
    <w:rsid w:val="00195000"/>
    <w:rsid w:val="001B40B8"/>
    <w:rsid w:val="001C6080"/>
    <w:rsid w:val="001C656D"/>
    <w:rsid w:val="00206AC9"/>
    <w:rsid w:val="0021160C"/>
    <w:rsid w:val="00212668"/>
    <w:rsid w:val="00250A6E"/>
    <w:rsid w:val="00250D30"/>
    <w:rsid w:val="00251B81"/>
    <w:rsid w:val="00287D76"/>
    <w:rsid w:val="002B3216"/>
    <w:rsid w:val="002B6B28"/>
    <w:rsid w:val="002E15A8"/>
    <w:rsid w:val="00313B46"/>
    <w:rsid w:val="00317506"/>
    <w:rsid w:val="00343A92"/>
    <w:rsid w:val="003549BB"/>
    <w:rsid w:val="00367713"/>
    <w:rsid w:val="00382E1E"/>
    <w:rsid w:val="00396A2D"/>
    <w:rsid w:val="003A41DB"/>
    <w:rsid w:val="003D63FB"/>
    <w:rsid w:val="003E4041"/>
    <w:rsid w:val="00420358"/>
    <w:rsid w:val="0046774F"/>
    <w:rsid w:val="004906BF"/>
    <w:rsid w:val="00492148"/>
    <w:rsid w:val="004B410B"/>
    <w:rsid w:val="004C5754"/>
    <w:rsid w:val="004C627E"/>
    <w:rsid w:val="004E26E4"/>
    <w:rsid w:val="004E6520"/>
    <w:rsid w:val="004F28FD"/>
    <w:rsid w:val="004F479A"/>
    <w:rsid w:val="005021EC"/>
    <w:rsid w:val="00520EDE"/>
    <w:rsid w:val="0052565E"/>
    <w:rsid w:val="00531BC5"/>
    <w:rsid w:val="0055626D"/>
    <w:rsid w:val="005701AB"/>
    <w:rsid w:val="005803A4"/>
    <w:rsid w:val="00584137"/>
    <w:rsid w:val="00585E90"/>
    <w:rsid w:val="005A3800"/>
    <w:rsid w:val="005B6DDB"/>
    <w:rsid w:val="005C24FE"/>
    <w:rsid w:val="005C6F46"/>
    <w:rsid w:val="005D0CDB"/>
    <w:rsid w:val="005F20F1"/>
    <w:rsid w:val="0061391A"/>
    <w:rsid w:val="00641DE1"/>
    <w:rsid w:val="0066070F"/>
    <w:rsid w:val="00662CD9"/>
    <w:rsid w:val="006867BF"/>
    <w:rsid w:val="0069279E"/>
    <w:rsid w:val="006A31BE"/>
    <w:rsid w:val="006B3732"/>
    <w:rsid w:val="006F0450"/>
    <w:rsid w:val="00726256"/>
    <w:rsid w:val="00735674"/>
    <w:rsid w:val="00743CF3"/>
    <w:rsid w:val="00761B4B"/>
    <w:rsid w:val="00767C1C"/>
    <w:rsid w:val="00782AD8"/>
    <w:rsid w:val="00790C89"/>
    <w:rsid w:val="007A22E5"/>
    <w:rsid w:val="007B4391"/>
    <w:rsid w:val="007C541B"/>
    <w:rsid w:val="007E76D6"/>
    <w:rsid w:val="007F2CDE"/>
    <w:rsid w:val="007F680E"/>
    <w:rsid w:val="008162FE"/>
    <w:rsid w:val="00836A52"/>
    <w:rsid w:val="00865380"/>
    <w:rsid w:val="0088251D"/>
    <w:rsid w:val="0089554B"/>
    <w:rsid w:val="008B5CF5"/>
    <w:rsid w:val="008C1AC2"/>
    <w:rsid w:val="008E0F01"/>
    <w:rsid w:val="008E37FC"/>
    <w:rsid w:val="00906CDD"/>
    <w:rsid w:val="00914A40"/>
    <w:rsid w:val="00916F59"/>
    <w:rsid w:val="0092673E"/>
    <w:rsid w:val="00956B84"/>
    <w:rsid w:val="009645DC"/>
    <w:rsid w:val="0098615A"/>
    <w:rsid w:val="00996328"/>
    <w:rsid w:val="009A432B"/>
    <w:rsid w:val="009B41C4"/>
    <w:rsid w:val="009F71E6"/>
    <w:rsid w:val="00A01D4A"/>
    <w:rsid w:val="00A109B5"/>
    <w:rsid w:val="00A202FB"/>
    <w:rsid w:val="00A23C77"/>
    <w:rsid w:val="00A2402F"/>
    <w:rsid w:val="00A333D4"/>
    <w:rsid w:val="00A36175"/>
    <w:rsid w:val="00A751E7"/>
    <w:rsid w:val="00A85DD8"/>
    <w:rsid w:val="00A9269B"/>
    <w:rsid w:val="00AA38CC"/>
    <w:rsid w:val="00AA5663"/>
    <w:rsid w:val="00AA7CB0"/>
    <w:rsid w:val="00AD1117"/>
    <w:rsid w:val="00B02F3B"/>
    <w:rsid w:val="00B032F0"/>
    <w:rsid w:val="00B13235"/>
    <w:rsid w:val="00B2611C"/>
    <w:rsid w:val="00B31599"/>
    <w:rsid w:val="00B34364"/>
    <w:rsid w:val="00B34F27"/>
    <w:rsid w:val="00B51089"/>
    <w:rsid w:val="00B754BD"/>
    <w:rsid w:val="00B860A1"/>
    <w:rsid w:val="00B86E9D"/>
    <w:rsid w:val="00B9366E"/>
    <w:rsid w:val="00B9533D"/>
    <w:rsid w:val="00B95D9B"/>
    <w:rsid w:val="00BB5775"/>
    <w:rsid w:val="00BB6DF2"/>
    <w:rsid w:val="00BF18EA"/>
    <w:rsid w:val="00C02D5D"/>
    <w:rsid w:val="00C06754"/>
    <w:rsid w:val="00C25B88"/>
    <w:rsid w:val="00C65BF3"/>
    <w:rsid w:val="00C6610D"/>
    <w:rsid w:val="00C769BF"/>
    <w:rsid w:val="00C80C55"/>
    <w:rsid w:val="00CA04BE"/>
    <w:rsid w:val="00CA3C87"/>
    <w:rsid w:val="00CB2480"/>
    <w:rsid w:val="00CC5BB4"/>
    <w:rsid w:val="00CC6CFE"/>
    <w:rsid w:val="00CD0C66"/>
    <w:rsid w:val="00CE1B3F"/>
    <w:rsid w:val="00CF5681"/>
    <w:rsid w:val="00D24424"/>
    <w:rsid w:val="00D748A6"/>
    <w:rsid w:val="00D8023D"/>
    <w:rsid w:val="00DA0035"/>
    <w:rsid w:val="00DA1DD9"/>
    <w:rsid w:val="00DA4DBE"/>
    <w:rsid w:val="00DA5A11"/>
    <w:rsid w:val="00DB0B71"/>
    <w:rsid w:val="00DC18F2"/>
    <w:rsid w:val="00DD7DC3"/>
    <w:rsid w:val="00E05848"/>
    <w:rsid w:val="00E101DD"/>
    <w:rsid w:val="00E216DE"/>
    <w:rsid w:val="00E26178"/>
    <w:rsid w:val="00E322A9"/>
    <w:rsid w:val="00E35EAA"/>
    <w:rsid w:val="00E40663"/>
    <w:rsid w:val="00E52F84"/>
    <w:rsid w:val="00E74094"/>
    <w:rsid w:val="00E97CCE"/>
    <w:rsid w:val="00EA4B55"/>
    <w:rsid w:val="00EC78B4"/>
    <w:rsid w:val="00F10456"/>
    <w:rsid w:val="00F26A12"/>
    <w:rsid w:val="00F3155F"/>
    <w:rsid w:val="00F31649"/>
    <w:rsid w:val="00F57207"/>
    <w:rsid w:val="00F87CCF"/>
    <w:rsid w:val="00F9350A"/>
    <w:rsid w:val="00F94919"/>
    <w:rsid w:val="00FA1629"/>
    <w:rsid w:val="00FC67E7"/>
    <w:rsid w:val="00FC7C0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92DBE396124CA59BD7165145DAD10A">
    <w:name w:val="A592DBE396124CA59BD7165145DAD10A"/>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BF154F3F462A74FB684030474CFF4D5" ma:contentTypeVersion="20" ma:contentTypeDescription="Create a new document." ma:contentTypeScope="" ma:versionID="73c080475389feb91c9337fdd1b25fcf">
  <xsd:schema xmlns:xsd="http://www.w3.org/2001/XMLSchema" xmlns:xs="http://www.w3.org/2001/XMLSchema" xmlns:p="http://schemas.microsoft.com/office/2006/metadata/properties" xmlns:ns2="7d6f08ab-4406-442e-9d05-97b0a8a57d32" xmlns:ns3="3736308f-f219-41c8-ac9d-2812515379c1" targetNamespace="http://schemas.microsoft.com/office/2006/metadata/properties" ma:root="true" ma:fieldsID="b22051c04d040b73efa2fddcef1dd272" ns2:_="" ns3:_="">
    <xsd:import namespace="7d6f08ab-4406-442e-9d05-97b0a8a57d32"/>
    <xsd:import namespace="3736308f-f219-41c8-ac9d-2812515379c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AndrewHarri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f08ab-4406-442e-9d05-97b0a8a57d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hidden="true" ma:internalName="MediaServiceKeyPoints" ma:readOnly="true">
      <xsd:simpleType>
        <xsd:restriction base="dms:Note"/>
      </xsd:simpleType>
    </xsd:element>
    <xsd:element name="MediaServiceOCR" ma:index="17" nillable="true" ma:displayName="Extracted Text" ma:hidden="true" ma:internalName="MediaServiceOCR" ma:readOnly="true">
      <xsd:simpleType>
        <xsd:restriction base="dms:Note"/>
      </xsd:simpleType>
    </xsd:element>
    <xsd:element name="MediaLengthInSeconds" ma:index="18" nillable="true" ma:displayName="Length (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9ab9318-aa8f-47e5-88b0-458c7598eb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ndrewHarrison" ma:index="24" nillable="true" ma:displayName="Andrew Harrison" ma:format="Dropdown" ma:hidden="true" ma:list="UserInfo" ma:SharePointGroup="0" ma:internalName="AndrewHarrison"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36308f-f219-41c8-ac9d-2812515379c1"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1" nillable="true" ma:displayName="Taxonomy Catch All Column" ma:hidden="true" ma:list="{19be4430-a59e-4ad1-b29d-7a421ab5900a}" ma:internalName="TaxCatchAll" ma:readOnly="false" ma:showField="CatchAllData" ma:web="3736308f-f219-41c8-ac9d-2812515379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3736308f-f219-41c8-ac9d-2812515379c1" xsi:nil="true"/>
    <lcf76f155ced4ddcb4097134ff3c332f xmlns="7d6f08ab-4406-442e-9d05-97b0a8a57d32">
      <Terms xmlns="http://schemas.microsoft.com/office/infopath/2007/PartnerControls"/>
    </lcf76f155ced4ddcb4097134ff3c332f>
    <SharedWithUsers xmlns="3736308f-f219-41c8-ac9d-2812515379c1">
      <UserInfo>
        <DisplayName>Andrew Harrison</DisplayName>
        <AccountId>48</AccountId>
        <AccountType/>
      </UserInfo>
      <UserInfo>
        <DisplayName>David Jobling</DisplayName>
        <AccountId>885</AccountId>
        <AccountType/>
      </UserInfo>
    </SharedWithUsers>
    <AndrewHarrison xmlns="7d6f08ab-4406-442e-9d05-97b0a8a57d32">
      <UserInfo>
        <DisplayName/>
        <AccountId xsi:nil="true"/>
        <AccountType/>
      </UserInfo>
    </AndrewHarrison>
  </documentManagement>
</p:properties>
</file>

<file path=customXml/itemProps1.xml><?xml version="1.0" encoding="utf-8"?>
<ds:datastoreItem xmlns:ds="http://schemas.openxmlformats.org/officeDocument/2006/customXml" ds:itemID="{E168B724-06E4-401D-8E60-96E6961A9622}">
  <ds:schemaRefs>
    <ds:schemaRef ds:uri="http://schemas.openxmlformats.org/officeDocument/2006/bibliography"/>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A89D6166-4E1C-4F96-BDCA-F4C20028A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f08ab-4406-442e-9d05-97b0a8a57d32"/>
    <ds:schemaRef ds:uri="3736308f-f219-41c8-ac9d-2812515379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3736308f-f219-41c8-ac9d-2812515379c1"/>
    <ds:schemaRef ds:uri="7d6f08ab-4406-442e-9d05-97b0a8a57d32"/>
  </ds:schemaRefs>
</ds:datastoreItem>
</file>

<file path=docProps/app.xml><?xml version="1.0" encoding="utf-8"?>
<Properties xmlns="http://schemas.openxmlformats.org/officeDocument/2006/extended-properties" xmlns:vt="http://schemas.openxmlformats.org/officeDocument/2006/docPropsVTypes">
  <Template>C:\Users\hamc4\Downloads\NHS Digital_basic_template_Plain_Grey.dotx</Template>
  <TotalTime>149</TotalTime>
  <Pages>67</Pages>
  <Words>20113</Words>
  <Characters>128525</Characters>
  <Application>Microsoft Office Word</Application>
  <DocSecurity>0</DocSecurity>
  <Lines>3213</Lines>
  <Paragraphs>1598</Paragraphs>
  <ScaleCrop>false</ScaleCrop>
  <HeadingPairs>
    <vt:vector size="2" baseType="variant">
      <vt:variant>
        <vt:lpstr>Title</vt:lpstr>
      </vt:variant>
      <vt:variant>
        <vt:i4>1</vt:i4>
      </vt:variant>
    </vt:vector>
  </HeadingPairs>
  <TitlesOfParts>
    <vt:vector size="1" baseType="lpstr">
      <vt:lpstr>National Registry for Imaging (NIR)</vt:lpstr>
    </vt:vector>
  </TitlesOfParts>
  <Company/>
  <LinksUpToDate>false</LinksUpToDate>
  <CharactersWithSpaces>147040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Registry for Imaging (NIR)</dc:title>
  <dc:subject/>
  <dc:creator>Andrew Harrison</dc:creator>
  <cp:keywords/>
  <cp:lastModifiedBy>Savan Shah</cp:lastModifiedBy>
  <cp:revision>30</cp:revision>
  <cp:lastPrinted>2017-10-07T02:41:00Z</cp:lastPrinted>
  <dcterms:created xsi:type="dcterms:W3CDTF">2025-11-24T10:20:00Z</dcterms:created>
  <dcterms:modified xsi:type="dcterms:W3CDTF">2026-04-24T14:17:00Z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0x010100DBF154F3F462A74FB684030474CFF4D5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GrammarlyDocumentId">
    <vt:lpwstr>2bc66322-5041-470d-9e4d-c02e75dc0263</vt:lpwstr>
  </property>
</Properties>
</file>