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7D020" w14:textId="77777777" w:rsidR="0076063B" w:rsidRPr="001E7AFE" w:rsidRDefault="004D5838">
      <w:pPr>
        <w:pStyle w:val="Heading1"/>
        <w:rPr>
          <w:color w:val="000000" w:themeColor="text1"/>
        </w:rPr>
      </w:pPr>
      <w:bookmarkStart w:id="0" w:name="ndrs-nice-partnership-report"/>
      <w:r w:rsidRPr="001E7AFE">
        <w:rPr>
          <w:color w:val="000000" w:themeColor="text1"/>
        </w:rPr>
        <w:t>NDRS-NICE partnership report</w:t>
      </w:r>
    </w:p>
    <w:p w14:paraId="0557D021" w14:textId="77777777" w:rsidR="0076063B" w:rsidRPr="001E7AFE" w:rsidRDefault="004D5838">
      <w:pPr>
        <w:pStyle w:val="Heading2"/>
        <w:rPr>
          <w:color w:val="000000" w:themeColor="text1"/>
        </w:rPr>
      </w:pPr>
      <w:bookmarkStart w:id="1" w:name="background"/>
      <w:r w:rsidRPr="001E7AFE">
        <w:rPr>
          <w:color w:val="000000" w:themeColor="text1"/>
        </w:rPr>
        <w:t>Background</w:t>
      </w:r>
    </w:p>
    <w:p w14:paraId="0557D022" w14:textId="77777777" w:rsidR="0076063B" w:rsidRPr="001E7AFE" w:rsidRDefault="004D5838">
      <w:pPr>
        <w:pStyle w:val="FirstParagraph"/>
        <w:rPr>
          <w:color w:val="000000" w:themeColor="text1"/>
        </w:rPr>
      </w:pPr>
      <w:r w:rsidRPr="001E7AFE">
        <w:rPr>
          <w:color w:val="000000" w:themeColor="text1"/>
        </w:rPr>
        <w:t>This report was produced in partnership by the National Disease and Registration Service (NDRS) and National Institute for Health and Care Excellence (NICE). NDRS and NICE have established a partnership focused on routinely collected data to support NICE decision making on the appraisals of cancer treatments. The partnership uses NDRS datasets, including the information submitted by trusts to the Systemic Anti-Cancer Therapy (SACT) dataset,</w:t>
      </w:r>
      <w:r w:rsidRPr="001E7AFE">
        <w:rPr>
          <w:rStyle w:val="FootnoteReference"/>
          <w:color w:val="000000" w:themeColor="text1"/>
        </w:rPr>
        <w:footnoteReference w:id="1"/>
      </w:r>
      <w:r w:rsidRPr="001E7AFE">
        <w:rPr>
          <w:color w:val="000000" w:themeColor="text1"/>
        </w:rPr>
        <w:t xml:space="preserve"> to provide an understanding of current practice.</w:t>
      </w:r>
    </w:p>
    <w:p w14:paraId="0557D023" w14:textId="77777777" w:rsidR="0076063B" w:rsidRPr="001E7AFE" w:rsidRDefault="004D5838">
      <w:pPr>
        <w:pStyle w:val="BodyText"/>
        <w:rPr>
          <w:color w:val="000000" w:themeColor="text1"/>
        </w:rPr>
      </w:pPr>
      <w:r w:rsidRPr="001E7AFE">
        <w:rPr>
          <w:color w:val="000000" w:themeColor="text1"/>
        </w:rPr>
        <w:t>To determine a severity modifier, NICE considers factors such as the age, gender, and overall survival of the patient cohort affected by the disease. Additionally, knowing the time-on-treatment for each therapy is useful, as it validates assumptions made in technology appraisal evaluations about the duration of treatment use.</w:t>
      </w:r>
    </w:p>
    <w:p w14:paraId="0557D024" w14:textId="77777777" w:rsidR="0076063B" w:rsidRPr="001E7AFE" w:rsidRDefault="004D5838">
      <w:pPr>
        <w:pStyle w:val="BodyText"/>
        <w:rPr>
          <w:color w:val="000000" w:themeColor="text1"/>
        </w:rPr>
      </w:pPr>
      <w:r w:rsidRPr="001E7AFE">
        <w:rPr>
          <w:color w:val="000000" w:themeColor="text1"/>
        </w:rPr>
        <w:t xml:space="preserve">This partnership is focused on producing demographic and survival information using NDRS data, alongside supplementary information tailored to each technology appraisal. These may include, for example, the time patients spend on </w:t>
      </w:r>
      <w:proofErr w:type="gramStart"/>
      <w:r w:rsidRPr="001E7AFE">
        <w:rPr>
          <w:color w:val="000000" w:themeColor="text1"/>
        </w:rPr>
        <w:t>particular treatments</w:t>
      </w:r>
      <w:proofErr w:type="gramEnd"/>
      <w:r w:rsidRPr="001E7AFE">
        <w:rPr>
          <w:color w:val="000000" w:themeColor="text1"/>
        </w:rPr>
        <w:t xml:space="preserve">, genetic data where this is available, or other information on real-world care pathways. Interpretation of the data is not included in this report, it is the </w:t>
      </w:r>
      <w:proofErr w:type="gramStart"/>
      <w:r w:rsidRPr="001E7AFE">
        <w:rPr>
          <w:color w:val="000000" w:themeColor="text1"/>
        </w:rPr>
        <w:t>information as</w:t>
      </w:r>
      <w:proofErr w:type="gramEnd"/>
      <w:r w:rsidRPr="001E7AFE">
        <w:rPr>
          <w:color w:val="000000" w:themeColor="text1"/>
        </w:rPr>
        <w:t xml:space="preserve"> provided to the NICE technology appraisal committees. </w:t>
      </w:r>
      <w:proofErr w:type="gramStart"/>
      <w:r w:rsidRPr="001E7AFE">
        <w:rPr>
          <w:color w:val="000000" w:themeColor="text1"/>
        </w:rPr>
        <w:t>Detail</w:t>
      </w:r>
      <w:proofErr w:type="gramEnd"/>
      <w:r w:rsidRPr="001E7AFE">
        <w:rPr>
          <w:color w:val="000000" w:themeColor="text1"/>
        </w:rPr>
        <w:t xml:space="preserve"> on how NICE health technology appraisals use this data can be found in the NICE health technology evaluations manual,</w:t>
      </w:r>
      <w:r w:rsidRPr="001E7AFE">
        <w:rPr>
          <w:rStyle w:val="FootnoteReference"/>
          <w:color w:val="000000" w:themeColor="text1"/>
        </w:rPr>
        <w:footnoteReference w:id="2"/>
      </w:r>
      <w:r w:rsidRPr="001E7AFE">
        <w:rPr>
          <w:color w:val="000000" w:themeColor="text1"/>
        </w:rPr>
        <w:t xml:space="preserve"> with specific information relating to the survival analysis modelling available in Technical Support Document (TSD).</w:t>
      </w:r>
      <w:r w:rsidRPr="001E7AFE">
        <w:rPr>
          <w:rStyle w:val="FootnoteReference"/>
          <w:color w:val="000000" w:themeColor="text1"/>
        </w:rPr>
        <w:footnoteReference w:id="3"/>
      </w:r>
    </w:p>
    <w:p w14:paraId="0557D025" w14:textId="77777777" w:rsidR="0076063B" w:rsidRPr="001E7AFE" w:rsidRDefault="004D5838">
      <w:pPr>
        <w:pStyle w:val="BodyText"/>
        <w:rPr>
          <w:color w:val="000000" w:themeColor="text1"/>
        </w:rPr>
      </w:pPr>
      <w:r w:rsidRPr="001E7AFE">
        <w:rPr>
          <w:color w:val="000000" w:themeColor="text1"/>
        </w:rPr>
        <w:t xml:space="preserve">The focus of this report is the indication </w:t>
      </w:r>
      <w:r w:rsidRPr="001E7AFE">
        <w:rPr>
          <w:b/>
          <w:bCs/>
          <w:color w:val="000000" w:themeColor="text1"/>
        </w:rPr>
        <w:t>ID6680: Trastuzumab deruxtecan for treating HER2-positive advanced gastric or gastroesophageal junction adenocarcinoma after trastuzumab-based treatment</w:t>
      </w:r>
    </w:p>
    <w:p w14:paraId="0557D026" w14:textId="77777777" w:rsidR="0076063B" w:rsidRPr="001E7AFE" w:rsidRDefault="004D5838">
      <w:pPr>
        <w:pStyle w:val="BodyText"/>
        <w:rPr>
          <w:color w:val="000000" w:themeColor="text1"/>
        </w:rPr>
      </w:pPr>
      <w:r w:rsidRPr="001E7AFE">
        <w:rPr>
          <w:color w:val="000000" w:themeColor="text1"/>
        </w:rPr>
        <w:t>A single cohort was assessed for this indication:</w:t>
      </w:r>
    </w:p>
    <w:p w14:paraId="0557D027" w14:textId="06EDD13D" w:rsidR="0076063B" w:rsidRPr="001E7AFE" w:rsidRDefault="004D5838">
      <w:pPr>
        <w:pStyle w:val="Compact"/>
        <w:numPr>
          <w:ilvl w:val="0"/>
          <w:numId w:val="15"/>
        </w:numPr>
        <w:rPr>
          <w:color w:val="000000" w:themeColor="text1"/>
        </w:rPr>
      </w:pPr>
      <w:r w:rsidRPr="001E7AFE">
        <w:rPr>
          <w:color w:val="000000" w:themeColor="text1"/>
        </w:rPr>
        <w:lastRenderedPageBreak/>
        <w:t>Patients with HER2-positive advanced gastric or gastroesophageal junction adenocarcinoma who received second-line treatment after prior therapy including trastuzumab.</w:t>
      </w:r>
    </w:p>
    <w:p w14:paraId="0557D028" w14:textId="77777777" w:rsidR="0076063B" w:rsidRPr="001E7AFE" w:rsidRDefault="004D5838">
      <w:pPr>
        <w:rPr>
          <w:color w:val="000000" w:themeColor="text1"/>
        </w:rPr>
      </w:pPr>
      <w:r w:rsidRPr="001E7AFE">
        <w:rPr>
          <w:color w:val="000000" w:themeColor="text1"/>
        </w:rPr>
        <w:br w:type="page"/>
      </w:r>
    </w:p>
    <w:p w14:paraId="0557D029" w14:textId="77777777" w:rsidR="0076063B" w:rsidRPr="001E7AFE" w:rsidRDefault="004D5838">
      <w:pPr>
        <w:pStyle w:val="Heading1"/>
        <w:rPr>
          <w:color w:val="000000" w:themeColor="text1"/>
        </w:rPr>
      </w:pPr>
      <w:bookmarkStart w:id="2" w:name="X656d5fb296612a6ad57f2a5649c97c4d96cf667"/>
      <w:bookmarkEnd w:id="0"/>
      <w:bookmarkEnd w:id="1"/>
      <w:r w:rsidRPr="001E7AFE">
        <w:rPr>
          <w:color w:val="000000" w:themeColor="text1"/>
        </w:rPr>
        <w:lastRenderedPageBreak/>
        <w:t>Age, gender and overall survival in second line treatments for HER2-positive advanced gastric or gastroesophageal junction adenocarcinoma after trastuzumab-based treatment</w:t>
      </w:r>
    </w:p>
    <w:p w14:paraId="0557D02A" w14:textId="77777777" w:rsidR="0076063B" w:rsidRPr="001E7AFE" w:rsidRDefault="004D5838">
      <w:pPr>
        <w:pStyle w:val="Heading2"/>
        <w:rPr>
          <w:color w:val="000000" w:themeColor="text1"/>
        </w:rPr>
      </w:pPr>
      <w:bookmarkStart w:id="3" w:name="introduction"/>
      <w:r w:rsidRPr="001E7AFE">
        <w:rPr>
          <w:color w:val="000000" w:themeColor="text1"/>
        </w:rPr>
        <w:t>Introduction</w:t>
      </w:r>
    </w:p>
    <w:p w14:paraId="0557D02B" w14:textId="77777777" w:rsidR="0076063B" w:rsidRPr="001E7AFE" w:rsidRDefault="004D5838">
      <w:pPr>
        <w:pStyle w:val="FirstParagraph"/>
        <w:rPr>
          <w:color w:val="000000" w:themeColor="text1"/>
        </w:rPr>
      </w:pPr>
      <w:r w:rsidRPr="001E7AFE">
        <w:rPr>
          <w:color w:val="000000" w:themeColor="text1"/>
        </w:rPr>
        <w:t>This report was produced in partnership by the National Disease and Registration Service (NDRS) and National Institute for Health and Care Excellence (NICE). It presents overall survival and age distributions among patients of any age receiving second line treatment for advanced gastric or gastroesophageal junction adenocarcinoma after prior treatment with trastuzumab.</w:t>
      </w:r>
    </w:p>
    <w:p w14:paraId="0557D02C" w14:textId="77777777" w:rsidR="0076063B" w:rsidRPr="001E7AFE" w:rsidRDefault="004D5838">
      <w:pPr>
        <w:pStyle w:val="Heading2"/>
        <w:rPr>
          <w:color w:val="000000" w:themeColor="text1"/>
        </w:rPr>
      </w:pPr>
      <w:bookmarkStart w:id="4" w:name="method"/>
      <w:bookmarkEnd w:id="3"/>
      <w:r w:rsidRPr="001E7AFE">
        <w:rPr>
          <w:color w:val="000000" w:themeColor="text1"/>
        </w:rPr>
        <w:t>Method</w:t>
      </w:r>
    </w:p>
    <w:p w14:paraId="0557D02D" w14:textId="77777777" w:rsidR="0076063B" w:rsidRPr="001E7AFE" w:rsidRDefault="004D5838">
      <w:pPr>
        <w:pStyle w:val="FirstParagraph"/>
        <w:rPr>
          <w:color w:val="000000" w:themeColor="text1"/>
        </w:rPr>
      </w:pPr>
      <w:r w:rsidRPr="001E7AFE">
        <w:rPr>
          <w:color w:val="000000" w:themeColor="text1"/>
        </w:rPr>
        <w:t>A snapshot of SACT data was taken between Saturday 4th and Sunday 5th April 2026 and made available for analysis on 24</w:t>
      </w:r>
      <w:r w:rsidRPr="001E7AFE">
        <w:rPr>
          <w:color w:val="000000" w:themeColor="text1"/>
          <w:vertAlign w:val="superscript"/>
        </w:rPr>
        <w:t>th</w:t>
      </w:r>
      <w:r w:rsidRPr="001E7AFE">
        <w:rPr>
          <w:color w:val="000000" w:themeColor="text1"/>
        </w:rPr>
        <w:t xml:space="preserve"> April 2026. SACT data is only considered complete when 90% of trusts have submitted data, which at the time of analysis was 31</w:t>
      </w:r>
      <w:r w:rsidRPr="001E7AFE">
        <w:rPr>
          <w:color w:val="000000" w:themeColor="text1"/>
          <w:vertAlign w:val="superscript"/>
        </w:rPr>
        <w:t>st</w:t>
      </w:r>
      <w:r w:rsidRPr="001E7AFE">
        <w:rPr>
          <w:color w:val="000000" w:themeColor="text1"/>
        </w:rPr>
        <w:t xml:space="preserve"> May 2025. This date is used as the upper limit when selecting regimens of interest. Patients were traced for their vital status on 5</w:t>
      </w:r>
      <w:r w:rsidRPr="001E7AFE">
        <w:rPr>
          <w:color w:val="000000" w:themeColor="text1"/>
          <w:vertAlign w:val="superscript"/>
        </w:rPr>
        <w:t>th</w:t>
      </w:r>
      <w:r w:rsidRPr="001E7AFE">
        <w:rPr>
          <w:color w:val="000000" w:themeColor="text1"/>
        </w:rPr>
        <w:t xml:space="preserve"> January 2026, which is the censoring date for the overall survival analysis.</w:t>
      </w:r>
    </w:p>
    <w:p w14:paraId="0557D02E" w14:textId="77777777" w:rsidR="0076063B" w:rsidRPr="001E7AFE" w:rsidRDefault="004D5838">
      <w:pPr>
        <w:pStyle w:val="BodyText"/>
        <w:rPr>
          <w:color w:val="000000" w:themeColor="text1"/>
        </w:rPr>
      </w:pPr>
      <w:r w:rsidRPr="001E7AFE">
        <w:rPr>
          <w:color w:val="000000" w:themeColor="text1"/>
        </w:rPr>
        <w:t>Descriptive statistics of age were computed, along with Kaplan-Meier estimates and parametric fits for overall survival. Patients were censored at the date of the most recent trace (5</w:t>
      </w:r>
      <w:r w:rsidRPr="001E7AFE">
        <w:rPr>
          <w:color w:val="000000" w:themeColor="text1"/>
          <w:vertAlign w:val="superscript"/>
        </w:rPr>
        <w:t>th</w:t>
      </w:r>
      <w:r w:rsidRPr="001E7AFE">
        <w:rPr>
          <w:color w:val="000000" w:themeColor="text1"/>
        </w:rPr>
        <w:t xml:space="preserve"> January 2026), representing the last date on which vital status was confirmed.</w:t>
      </w:r>
    </w:p>
    <w:p w14:paraId="0557D02F" w14:textId="77777777" w:rsidR="0076063B" w:rsidRPr="001E7AFE" w:rsidRDefault="004D5838">
      <w:pPr>
        <w:pStyle w:val="Heading3"/>
        <w:rPr>
          <w:color w:val="000000" w:themeColor="text1"/>
        </w:rPr>
      </w:pPr>
      <w:bookmarkStart w:id="5" w:name="cohort-inclusions-exclusions"/>
      <w:r w:rsidRPr="001E7AFE">
        <w:rPr>
          <w:color w:val="000000" w:themeColor="text1"/>
        </w:rPr>
        <w:t>Cohort inclusions / exclusions</w:t>
      </w:r>
    </w:p>
    <w:p w14:paraId="0557D030" w14:textId="77777777" w:rsidR="0076063B" w:rsidRPr="001E7AFE" w:rsidRDefault="004D5838">
      <w:pPr>
        <w:pStyle w:val="FirstParagraph"/>
        <w:rPr>
          <w:color w:val="000000" w:themeColor="text1"/>
        </w:rPr>
      </w:pPr>
      <w:r w:rsidRPr="001E7AFE">
        <w:rPr>
          <w:color w:val="000000" w:themeColor="text1"/>
        </w:rPr>
        <w:t xml:space="preserve">Patients were included if they met </w:t>
      </w:r>
      <w:proofErr w:type="gramStart"/>
      <w:r w:rsidRPr="001E7AFE">
        <w:rPr>
          <w:color w:val="000000" w:themeColor="text1"/>
        </w:rPr>
        <w:t>all of</w:t>
      </w:r>
      <w:proofErr w:type="gramEnd"/>
      <w:r w:rsidRPr="001E7AFE">
        <w:rPr>
          <w:color w:val="000000" w:themeColor="text1"/>
        </w:rPr>
        <w:t xml:space="preserve"> the following:</w:t>
      </w:r>
    </w:p>
    <w:p w14:paraId="0557D031" w14:textId="654BA8AB" w:rsidR="0076063B" w:rsidRPr="001E7AFE" w:rsidRDefault="004D5838">
      <w:pPr>
        <w:pStyle w:val="Compact"/>
        <w:numPr>
          <w:ilvl w:val="0"/>
          <w:numId w:val="16"/>
        </w:numPr>
        <w:rPr>
          <w:color w:val="000000" w:themeColor="text1"/>
        </w:rPr>
      </w:pPr>
      <w:r w:rsidRPr="001E7AFE">
        <w:rPr>
          <w:color w:val="000000" w:themeColor="text1"/>
        </w:rPr>
        <w:t>Diagnosed between 1</w:t>
      </w:r>
      <w:r w:rsidRPr="001E7AFE">
        <w:rPr>
          <w:color w:val="000000" w:themeColor="text1"/>
          <w:vertAlign w:val="superscript"/>
        </w:rPr>
        <w:t>st</w:t>
      </w:r>
      <w:r w:rsidRPr="001E7AFE">
        <w:rPr>
          <w:color w:val="000000" w:themeColor="text1"/>
        </w:rPr>
        <w:t xml:space="preserve"> June 2018 and 31</w:t>
      </w:r>
      <w:r w:rsidRPr="001E7AFE">
        <w:rPr>
          <w:color w:val="000000" w:themeColor="text1"/>
          <w:vertAlign w:val="superscript"/>
        </w:rPr>
        <w:t>st</w:t>
      </w:r>
      <w:r w:rsidRPr="001E7AFE">
        <w:rPr>
          <w:color w:val="000000" w:themeColor="text1"/>
        </w:rPr>
        <w:t xml:space="preserve"> December 2023 ()</w:t>
      </w:r>
      <w:r w:rsidR="004A4886" w:rsidRPr="001E7AFE">
        <w:rPr>
          <w:color w:val="000000" w:themeColor="text1"/>
        </w:rPr>
        <w:t xml:space="preserve">     </w:t>
      </w:r>
    </w:p>
    <w:p w14:paraId="0557D032" w14:textId="77777777" w:rsidR="0076063B" w:rsidRPr="001E7AFE" w:rsidRDefault="004D5838">
      <w:pPr>
        <w:pStyle w:val="Compact"/>
        <w:numPr>
          <w:ilvl w:val="0"/>
          <w:numId w:val="16"/>
        </w:numPr>
        <w:rPr>
          <w:color w:val="000000" w:themeColor="text1"/>
        </w:rPr>
      </w:pPr>
      <w:r w:rsidRPr="001E7AFE">
        <w:rPr>
          <w:color w:val="000000" w:themeColor="text1"/>
        </w:rPr>
        <w:t>Country code was England, based on postcode of residence at diagnosis</w:t>
      </w:r>
    </w:p>
    <w:p w14:paraId="0557D033" w14:textId="5AB807B0" w:rsidR="0076063B" w:rsidRPr="001E7AFE" w:rsidRDefault="004D5838">
      <w:pPr>
        <w:pStyle w:val="Compact"/>
        <w:numPr>
          <w:ilvl w:val="0"/>
          <w:numId w:val="16"/>
        </w:numPr>
        <w:rPr>
          <w:color w:val="000000" w:themeColor="text1"/>
        </w:rPr>
      </w:pPr>
      <w:hyperlink r:id="rId11" w:history="1">
        <w:r w:rsidRPr="001E7AFE">
          <w:rPr>
            <w:rStyle w:val="Hyperlink"/>
            <w:color w:val="000000" w:themeColor="text1"/>
          </w:rPr>
          <w:t>NDRS registrations data</w:t>
        </w:r>
      </w:hyperlink>
      <w:r w:rsidRPr="001E7AFE">
        <w:rPr>
          <w:color w:val="000000" w:themeColor="text1"/>
        </w:rPr>
        <w:t xml:space="preserve"> had cancer site as one of the following: ‘Stomach - overlapping lesion and unspecified’, ‘Non-Cardia’, ‘Cardia’, </w:t>
      </w:r>
      <w:proofErr w:type="gramStart"/>
      <w:r w:rsidRPr="001E7AFE">
        <w:rPr>
          <w:color w:val="000000" w:themeColor="text1"/>
        </w:rPr>
        <w:t>‘</w:t>
      </w:r>
      <w:proofErr w:type="spellStart"/>
      <w:r w:rsidRPr="001E7AFE">
        <w:rPr>
          <w:color w:val="000000" w:themeColor="text1"/>
        </w:rPr>
        <w:t>Oesophagogastric</w:t>
      </w:r>
      <w:proofErr w:type="spellEnd"/>
      <w:proofErr w:type="gramEnd"/>
      <w:r w:rsidRPr="001E7AFE">
        <w:rPr>
          <w:color w:val="000000" w:themeColor="text1"/>
        </w:rPr>
        <w:t xml:space="preserve"> </w:t>
      </w:r>
      <w:proofErr w:type="gramStart"/>
      <w:r w:rsidRPr="001E7AFE">
        <w:rPr>
          <w:color w:val="000000" w:themeColor="text1"/>
        </w:rPr>
        <w:t>junction’</w:t>
      </w:r>
      <w:proofErr w:type="gramEnd"/>
    </w:p>
    <w:p w14:paraId="0557D034" w14:textId="06034AD6" w:rsidR="0076063B" w:rsidRPr="001E7AFE" w:rsidRDefault="004D5838">
      <w:pPr>
        <w:pStyle w:val="Compact"/>
        <w:numPr>
          <w:ilvl w:val="0"/>
          <w:numId w:val="16"/>
        </w:numPr>
        <w:rPr>
          <w:color w:val="000000" w:themeColor="text1"/>
        </w:rPr>
      </w:pPr>
      <w:hyperlink r:id="rId12" w:history="1">
        <w:r w:rsidRPr="001E7AFE">
          <w:rPr>
            <w:rStyle w:val="Hyperlink"/>
            <w:color w:val="000000" w:themeColor="text1"/>
          </w:rPr>
          <w:t>NDRS registrations data</w:t>
        </w:r>
      </w:hyperlink>
      <w:r w:rsidRPr="001E7AFE">
        <w:rPr>
          <w:color w:val="000000" w:themeColor="text1"/>
        </w:rPr>
        <w:t xml:space="preserve"> had morphology as adenocarcinoma.</w:t>
      </w:r>
    </w:p>
    <w:p w14:paraId="0557D035" w14:textId="77777777" w:rsidR="0076063B" w:rsidRPr="001E7AFE" w:rsidRDefault="004D5838">
      <w:pPr>
        <w:pStyle w:val="Compact"/>
        <w:numPr>
          <w:ilvl w:val="0"/>
          <w:numId w:val="16"/>
        </w:numPr>
        <w:rPr>
          <w:color w:val="000000" w:themeColor="text1"/>
        </w:rPr>
      </w:pPr>
      <w:r w:rsidRPr="001E7AFE">
        <w:rPr>
          <w:color w:val="000000" w:themeColor="text1"/>
        </w:rPr>
        <w:t xml:space="preserve">Only one </w:t>
      </w:r>
      <w:proofErr w:type="spellStart"/>
      <w:r w:rsidRPr="001E7AFE">
        <w:rPr>
          <w:color w:val="000000" w:themeColor="text1"/>
        </w:rPr>
        <w:t>tumour</w:t>
      </w:r>
      <w:proofErr w:type="spellEnd"/>
      <w:r w:rsidRPr="001E7AFE">
        <w:rPr>
          <w:color w:val="000000" w:themeColor="text1"/>
        </w:rPr>
        <w:t xml:space="preserve"> of interest was recorded during the study period</w:t>
      </w:r>
    </w:p>
    <w:p w14:paraId="0557D036" w14:textId="77777777" w:rsidR="0076063B" w:rsidRPr="001E7AFE" w:rsidRDefault="004D5838">
      <w:pPr>
        <w:pStyle w:val="Compact"/>
        <w:numPr>
          <w:ilvl w:val="0"/>
          <w:numId w:val="16"/>
        </w:numPr>
        <w:rPr>
          <w:color w:val="000000" w:themeColor="text1"/>
        </w:rPr>
      </w:pPr>
      <w:r w:rsidRPr="001E7AFE">
        <w:rPr>
          <w:color w:val="000000" w:themeColor="text1"/>
        </w:rPr>
        <w:t>Individuals had received a regimen including trastuzumab between diagnosis and 31st May 2025 (proxy measure for HER2-positive status)</w:t>
      </w:r>
    </w:p>
    <w:p w14:paraId="0557D037" w14:textId="77777777" w:rsidR="0076063B" w:rsidRPr="001E7AFE" w:rsidRDefault="004D5838">
      <w:pPr>
        <w:pStyle w:val="Compact"/>
        <w:numPr>
          <w:ilvl w:val="0"/>
          <w:numId w:val="16"/>
        </w:numPr>
        <w:rPr>
          <w:color w:val="000000" w:themeColor="text1"/>
        </w:rPr>
      </w:pPr>
      <w:r w:rsidRPr="001E7AFE">
        <w:rPr>
          <w:color w:val="000000" w:themeColor="text1"/>
        </w:rPr>
        <w:t>Individuals had further treatment following trastuzumab + platinum chemotherapy/capecitabin</w:t>
      </w:r>
    </w:p>
    <w:p w14:paraId="0557D038" w14:textId="77777777" w:rsidR="0076063B" w:rsidRPr="001E7AFE" w:rsidRDefault="004D5838">
      <w:pPr>
        <w:pStyle w:val="Heading3"/>
        <w:rPr>
          <w:color w:val="000000" w:themeColor="text1"/>
        </w:rPr>
      </w:pPr>
      <w:bookmarkStart w:id="6" w:name="X1c316273bfbd9e53df432825ce69a9d7aea10a4"/>
      <w:bookmarkEnd w:id="5"/>
      <w:r w:rsidRPr="001E7AFE">
        <w:rPr>
          <w:color w:val="000000" w:themeColor="text1"/>
        </w:rPr>
        <w:t>Trastuzumab as proxy measure for HER2-positive status</w:t>
      </w:r>
    </w:p>
    <w:p w14:paraId="0557D039" w14:textId="2DCD9FF2" w:rsidR="0076063B" w:rsidRPr="001E7AFE" w:rsidRDefault="00D44DA3">
      <w:pPr>
        <w:pStyle w:val="FirstParagraph"/>
        <w:rPr>
          <w:color w:val="000000" w:themeColor="text1"/>
        </w:rPr>
      </w:pPr>
      <w:r w:rsidRPr="001E7AFE">
        <w:rPr>
          <w:color w:val="000000" w:themeColor="text1"/>
        </w:rPr>
        <w:t xml:space="preserve">As outlaid in the </w:t>
      </w:r>
      <w:hyperlink r:id="rId13" w:history="1">
        <w:r w:rsidRPr="001E7AFE">
          <w:rPr>
            <w:rStyle w:val="Hyperlink"/>
            <w:color w:val="000000" w:themeColor="text1"/>
          </w:rPr>
          <w:t>TA208 guidance</w:t>
        </w:r>
      </w:hyperlink>
      <w:r w:rsidRPr="001E7AFE">
        <w:rPr>
          <w:color w:val="000000" w:themeColor="text1"/>
        </w:rPr>
        <w:t xml:space="preserve"> published in November 2010</w:t>
      </w:r>
      <w:r w:rsidR="004D5838" w:rsidRPr="001E7AFE">
        <w:rPr>
          <w:color w:val="000000" w:themeColor="text1"/>
        </w:rPr>
        <w:t xml:space="preserve">, trastuzumab is only recommended by NICE (and therefore only funded by NHS commissioning bodies) </w:t>
      </w:r>
      <w:r w:rsidRPr="001E7AFE">
        <w:rPr>
          <w:color w:val="000000" w:themeColor="text1"/>
        </w:rPr>
        <w:t xml:space="preserve">as first </w:t>
      </w:r>
      <w:r w:rsidRPr="001E7AFE">
        <w:rPr>
          <w:color w:val="000000" w:themeColor="text1"/>
        </w:rPr>
        <w:lastRenderedPageBreak/>
        <w:t xml:space="preserve">line treatment </w:t>
      </w:r>
      <w:r w:rsidR="004D5838" w:rsidRPr="001E7AFE">
        <w:rPr>
          <w:color w:val="000000" w:themeColor="text1"/>
        </w:rPr>
        <w:t xml:space="preserve">for HER2-positive </w:t>
      </w:r>
      <w:proofErr w:type="spellStart"/>
      <w:proofErr w:type="gramStart"/>
      <w:r w:rsidR="004D5838" w:rsidRPr="001E7AFE">
        <w:rPr>
          <w:color w:val="000000" w:themeColor="text1"/>
        </w:rPr>
        <w:t>tumours</w:t>
      </w:r>
      <w:proofErr w:type="spellEnd"/>
      <w:r w:rsidR="004D5838" w:rsidRPr="001E7AFE">
        <w:rPr>
          <w:color w:val="000000" w:themeColor="text1"/>
        </w:rPr>
        <w:t>, and</w:t>
      </w:r>
      <w:proofErr w:type="gramEnd"/>
      <w:r w:rsidR="004D5838" w:rsidRPr="001E7AFE">
        <w:rPr>
          <w:color w:val="000000" w:themeColor="text1"/>
        </w:rPr>
        <w:t xml:space="preserve"> therefore should not appear in data on NHS funded treatment for non HER2-positive </w:t>
      </w:r>
      <w:proofErr w:type="spellStart"/>
      <w:r w:rsidR="004D5838" w:rsidRPr="001E7AFE">
        <w:rPr>
          <w:color w:val="000000" w:themeColor="text1"/>
        </w:rPr>
        <w:t>tumours</w:t>
      </w:r>
      <w:proofErr w:type="spellEnd"/>
      <w:r w:rsidR="004D5838" w:rsidRPr="001E7AFE">
        <w:rPr>
          <w:color w:val="000000" w:themeColor="text1"/>
        </w:rPr>
        <w:t>.</w:t>
      </w:r>
    </w:p>
    <w:p w14:paraId="0557D03A" w14:textId="77777777" w:rsidR="0076063B" w:rsidRPr="001E7AFE" w:rsidRDefault="004D5838">
      <w:pPr>
        <w:pStyle w:val="Heading3"/>
        <w:rPr>
          <w:color w:val="000000" w:themeColor="text1"/>
        </w:rPr>
      </w:pPr>
      <w:bookmarkStart w:id="7" w:name="second-line-treatment-heuristics"/>
      <w:bookmarkEnd w:id="6"/>
      <w:r w:rsidRPr="001E7AFE">
        <w:rPr>
          <w:color w:val="000000" w:themeColor="text1"/>
        </w:rPr>
        <w:t>Second line treatment heuristics</w:t>
      </w:r>
    </w:p>
    <w:p w14:paraId="0557D03B" w14:textId="39D9E12E" w:rsidR="0076063B" w:rsidRPr="001E7AFE" w:rsidRDefault="004D5838">
      <w:pPr>
        <w:pStyle w:val="FirstParagraph"/>
        <w:rPr>
          <w:color w:val="000000" w:themeColor="text1"/>
        </w:rPr>
      </w:pPr>
      <w:r w:rsidRPr="001E7AFE">
        <w:rPr>
          <w:color w:val="000000" w:themeColor="text1"/>
        </w:rPr>
        <w:t>The proposed technology (trastuzumab deruxtecan) is to be positioned as an option for treating HER2-positive advanced gastric or gastroesophageal junction adenocarcinoma amongst those who had a prior trastuzumab-based regimen. As trastuzumab (</w:t>
      </w:r>
      <w:r w:rsidR="001B4ACE" w:rsidRPr="001E7AFE">
        <w:rPr>
          <w:color w:val="000000" w:themeColor="text1"/>
        </w:rPr>
        <w:t xml:space="preserve">given alongside </w:t>
      </w:r>
      <w:r w:rsidRPr="001E7AFE">
        <w:rPr>
          <w:color w:val="000000" w:themeColor="text1"/>
        </w:rPr>
        <w:t xml:space="preserve">platinum chemotherapy + capecitabin) would be the first line treatment for HER2-positive </w:t>
      </w:r>
      <w:proofErr w:type="spellStart"/>
      <w:r w:rsidRPr="001E7AFE">
        <w:rPr>
          <w:color w:val="000000" w:themeColor="text1"/>
        </w:rPr>
        <w:t>tumours</w:t>
      </w:r>
      <w:proofErr w:type="spellEnd"/>
      <w:r w:rsidRPr="001E7AFE">
        <w:rPr>
          <w:color w:val="000000" w:themeColor="text1"/>
        </w:rPr>
        <w:t>, this would place trastuzumab deruxtecan at second line (or later). Pathway and survival information in this report is therefore for second-line treatment only, to provide the appropriate comparator.</w:t>
      </w:r>
    </w:p>
    <w:p w14:paraId="0557D03C" w14:textId="77777777" w:rsidR="0076063B" w:rsidRPr="001E7AFE" w:rsidRDefault="004D5838">
      <w:pPr>
        <w:pStyle w:val="BodyText"/>
        <w:rPr>
          <w:color w:val="000000" w:themeColor="text1"/>
        </w:rPr>
      </w:pPr>
      <w:r w:rsidRPr="001E7AFE">
        <w:rPr>
          <w:color w:val="000000" w:themeColor="text1"/>
        </w:rPr>
        <w:t xml:space="preserve">We define the second line treatment as the first regimen that </w:t>
      </w:r>
      <w:proofErr w:type="gramStart"/>
      <w:r w:rsidRPr="001E7AFE">
        <w:rPr>
          <w:color w:val="000000" w:themeColor="text1"/>
        </w:rPr>
        <w:t>met</w:t>
      </w:r>
      <w:proofErr w:type="gramEnd"/>
      <w:r w:rsidRPr="001E7AFE">
        <w:rPr>
          <w:color w:val="000000" w:themeColor="text1"/>
        </w:rPr>
        <w:t xml:space="preserve"> </w:t>
      </w:r>
      <w:proofErr w:type="gramStart"/>
      <w:r w:rsidRPr="001E7AFE">
        <w:rPr>
          <w:color w:val="000000" w:themeColor="text1"/>
        </w:rPr>
        <w:t>all of</w:t>
      </w:r>
      <w:proofErr w:type="gramEnd"/>
      <w:r w:rsidRPr="001E7AFE">
        <w:rPr>
          <w:color w:val="000000" w:themeColor="text1"/>
        </w:rPr>
        <w:t xml:space="preserve"> the following criteria:</w:t>
      </w:r>
    </w:p>
    <w:p w14:paraId="0557D03D" w14:textId="77777777" w:rsidR="0076063B" w:rsidRPr="001E7AFE" w:rsidRDefault="004D5838">
      <w:pPr>
        <w:pStyle w:val="Compact"/>
        <w:numPr>
          <w:ilvl w:val="0"/>
          <w:numId w:val="17"/>
        </w:numPr>
        <w:rPr>
          <w:color w:val="000000" w:themeColor="text1"/>
        </w:rPr>
      </w:pPr>
      <w:r w:rsidRPr="001E7AFE">
        <w:rPr>
          <w:color w:val="000000" w:themeColor="text1"/>
        </w:rPr>
        <w:t>Occurs after the latest of:</w:t>
      </w:r>
    </w:p>
    <w:p w14:paraId="0557D03E" w14:textId="77777777" w:rsidR="0076063B" w:rsidRPr="001E7AFE" w:rsidRDefault="004D5838">
      <w:pPr>
        <w:pStyle w:val="Compact"/>
        <w:numPr>
          <w:ilvl w:val="1"/>
          <w:numId w:val="18"/>
        </w:numPr>
        <w:rPr>
          <w:color w:val="000000" w:themeColor="text1"/>
        </w:rPr>
      </w:pPr>
      <w:r w:rsidRPr="001E7AFE">
        <w:rPr>
          <w:color w:val="000000" w:themeColor="text1"/>
        </w:rPr>
        <w:t>the last recorded start date of the last regimen described as containing trastuzumab in the SACT regimen tables, and</w:t>
      </w:r>
    </w:p>
    <w:p w14:paraId="0557D03F" w14:textId="77777777" w:rsidR="0076063B" w:rsidRPr="001E7AFE" w:rsidRDefault="004D5838">
      <w:pPr>
        <w:pStyle w:val="Compact"/>
        <w:numPr>
          <w:ilvl w:val="1"/>
          <w:numId w:val="18"/>
        </w:numPr>
        <w:rPr>
          <w:color w:val="000000" w:themeColor="text1"/>
        </w:rPr>
      </w:pPr>
      <w:r w:rsidRPr="001E7AFE">
        <w:rPr>
          <w:color w:val="000000" w:themeColor="text1"/>
        </w:rPr>
        <w:t>the last recorded administration date of trastuzumab in the SACT drug detail tables.</w:t>
      </w:r>
    </w:p>
    <w:p w14:paraId="0557D040" w14:textId="77777777" w:rsidR="0076063B" w:rsidRPr="001E7AFE" w:rsidRDefault="004D5838">
      <w:pPr>
        <w:pStyle w:val="Compact"/>
        <w:numPr>
          <w:ilvl w:val="0"/>
          <w:numId w:val="17"/>
        </w:numPr>
        <w:rPr>
          <w:color w:val="000000" w:themeColor="text1"/>
        </w:rPr>
      </w:pPr>
      <w:r w:rsidRPr="001E7AFE">
        <w:rPr>
          <w:color w:val="000000" w:themeColor="text1"/>
        </w:rPr>
        <w:t>Did not contain a platinum chemotherapy or capecitabine in the regimen description field. These regimens are given alongside trastuzumab and are considered part of first line treatment.</w:t>
      </w:r>
    </w:p>
    <w:p w14:paraId="0557D041" w14:textId="44D3A9DF" w:rsidR="0076063B" w:rsidRPr="001E7AFE" w:rsidRDefault="004D5838">
      <w:pPr>
        <w:pStyle w:val="Compact"/>
        <w:numPr>
          <w:ilvl w:val="0"/>
          <w:numId w:val="17"/>
        </w:numPr>
        <w:rPr>
          <w:color w:val="000000" w:themeColor="text1"/>
        </w:rPr>
      </w:pPr>
      <w:r w:rsidRPr="001E7AFE">
        <w:rPr>
          <w:color w:val="000000" w:themeColor="text1"/>
        </w:rPr>
        <w:t>Was not described as ‘not chemo</w:t>
      </w:r>
      <w:proofErr w:type="gramStart"/>
      <w:r w:rsidRPr="001E7AFE">
        <w:rPr>
          <w:color w:val="000000" w:themeColor="text1"/>
        </w:rPr>
        <w:t>’, ‘</w:t>
      </w:r>
      <w:proofErr w:type="gramEnd"/>
      <w:r w:rsidRPr="001E7AFE">
        <w:rPr>
          <w:color w:val="000000" w:themeColor="text1"/>
        </w:rPr>
        <w:t>den</w:t>
      </w:r>
      <w:r w:rsidR="00CF6D00" w:rsidRPr="001E7AFE">
        <w:rPr>
          <w:color w:val="000000" w:themeColor="text1"/>
        </w:rPr>
        <w:t>o</w:t>
      </w:r>
      <w:r w:rsidRPr="001E7AFE">
        <w:rPr>
          <w:color w:val="000000" w:themeColor="text1"/>
        </w:rPr>
        <w:t>s</w:t>
      </w:r>
      <w:r w:rsidR="00CF6D00" w:rsidRPr="001E7AFE">
        <w:rPr>
          <w:color w:val="000000" w:themeColor="text1"/>
        </w:rPr>
        <w:t>u</w:t>
      </w:r>
      <w:r w:rsidRPr="001E7AFE">
        <w:rPr>
          <w:color w:val="000000" w:themeColor="text1"/>
        </w:rPr>
        <w:t>mab’, or ‘zoledronic acid’ in the regimen description</w:t>
      </w:r>
    </w:p>
    <w:p w14:paraId="0557D042" w14:textId="77777777" w:rsidR="0076063B" w:rsidRPr="001E7AFE" w:rsidRDefault="004D5838">
      <w:pPr>
        <w:pStyle w:val="FirstParagraph"/>
        <w:rPr>
          <w:color w:val="000000" w:themeColor="text1"/>
        </w:rPr>
      </w:pPr>
      <w:r w:rsidRPr="001E7AFE">
        <w:rPr>
          <w:color w:val="000000" w:themeColor="text1"/>
        </w:rPr>
        <w:t xml:space="preserve">Second line treatments as defined above were investigated for cases where combination therapies were recorded as split regimens. For </w:t>
      </w:r>
      <w:proofErr w:type="gramStart"/>
      <w:r w:rsidRPr="001E7AFE">
        <w:rPr>
          <w:color w:val="000000" w:themeColor="text1"/>
        </w:rPr>
        <w:t>example</w:t>
      </w:r>
      <w:proofErr w:type="gramEnd"/>
      <w:r w:rsidRPr="001E7AFE">
        <w:rPr>
          <w:color w:val="000000" w:themeColor="text1"/>
        </w:rPr>
        <w:t xml:space="preserve"> FOLFIRI could be recorded explicitly as a single regimen combination or separate regimens, one of Irinotecan and one of Fluorouracil, occurring contemporaneously. A similar issue arises with Paclitaxel which could be combined with Ramucirumab or not. Consequently, in the second-line </w:t>
      </w:r>
      <w:proofErr w:type="gramStart"/>
      <w:r w:rsidRPr="001E7AFE">
        <w:rPr>
          <w:color w:val="000000" w:themeColor="text1"/>
        </w:rPr>
        <w:t>treatment count</w:t>
      </w:r>
      <w:proofErr w:type="gramEnd"/>
      <w:r w:rsidRPr="001E7AFE">
        <w:rPr>
          <w:color w:val="000000" w:themeColor="text1"/>
        </w:rPr>
        <w:t xml:space="preserve"> table, there is an intrinsically higher level of uncertainty over the classification of combination therapies (and their components) than treatments that are given as monotherapies only.</w:t>
      </w:r>
    </w:p>
    <w:p w14:paraId="0557D043" w14:textId="2D5691BA" w:rsidR="0076063B" w:rsidRPr="001E7AFE" w:rsidRDefault="004D5838">
      <w:pPr>
        <w:pStyle w:val="BodyText"/>
        <w:rPr>
          <w:color w:val="000000" w:themeColor="text1"/>
        </w:rPr>
      </w:pPr>
      <w:r w:rsidRPr="001E7AFE">
        <w:rPr>
          <w:color w:val="000000" w:themeColor="text1"/>
        </w:rPr>
        <w:t xml:space="preserve">To address this specific issue with split regimen recording, we adopted the following classification heuristic: Where the initial second line therapy was initially classified as </w:t>
      </w:r>
      <w:proofErr w:type="gramStart"/>
      <w:r w:rsidRPr="001E7AFE">
        <w:rPr>
          <w:color w:val="000000" w:themeColor="text1"/>
        </w:rPr>
        <w:t>Irinotecan</w:t>
      </w:r>
      <w:proofErr w:type="gramEnd"/>
      <w:r w:rsidRPr="001E7AFE">
        <w:rPr>
          <w:color w:val="000000" w:themeColor="text1"/>
        </w:rPr>
        <w:t xml:space="preserve"> but the subsequent regimen was described as containing ‘Fluorouracil’ and occurred within 21 days, this was reclassified from Irinotecan monotherapy to FOLFIRI. A similar heuristic was applied to Paclitaxel regimens immediately followed by Ramucirumab. When run, these heuristics reassigned one case from Irinotecan monotherapy to FOLFIRI. No Paclitaxel cases were assigned to Paclitaxel + Ramucirumab. </w:t>
      </w:r>
      <w:r w:rsidR="00977D1D" w:rsidRPr="001E7AFE">
        <w:rPr>
          <w:color w:val="000000" w:themeColor="text1"/>
        </w:rPr>
        <w:t xml:space="preserve">Amending the cutoff date upwards in increments to an upper limit of 90 days did not result in any further reassignments. </w:t>
      </w:r>
      <w:r w:rsidRPr="001E7AFE">
        <w:rPr>
          <w:color w:val="000000" w:themeColor="text1"/>
        </w:rPr>
        <w:t>No second line treatments were initially described as Fluorouracil monotherapy or Ramucirumab monotherapy respectively, so the heuristic did not need to be run the other way to check if these were recorded as split regimens.</w:t>
      </w:r>
    </w:p>
    <w:p w14:paraId="0557D044" w14:textId="77777777" w:rsidR="0076063B" w:rsidRPr="001E7AFE" w:rsidRDefault="004D5838">
      <w:pPr>
        <w:pStyle w:val="Heading3"/>
        <w:rPr>
          <w:color w:val="000000" w:themeColor="text1"/>
        </w:rPr>
      </w:pPr>
      <w:bookmarkStart w:id="8" w:name="flow-chart"/>
      <w:bookmarkEnd w:id="7"/>
      <w:r w:rsidRPr="001E7AFE">
        <w:rPr>
          <w:color w:val="000000" w:themeColor="text1"/>
        </w:rPr>
        <w:lastRenderedPageBreak/>
        <w:t>Flow chart</w:t>
      </w:r>
    </w:p>
    <w:tbl>
      <w:tblPr>
        <w:tblStyle w:val="Table"/>
        <w:tblW w:w="5000" w:type="pct"/>
        <w:tblLayout w:type="fixed"/>
        <w:tblLook w:val="0020" w:firstRow="1" w:lastRow="0" w:firstColumn="0" w:lastColumn="0" w:noHBand="0" w:noVBand="0"/>
      </w:tblPr>
      <w:tblGrid>
        <w:gridCol w:w="9360"/>
      </w:tblGrid>
      <w:tr w:rsidR="0076063B" w:rsidRPr="001E7AFE" w14:paraId="0557D047" w14:textId="77777777" w:rsidTr="001E7AFE">
        <w:trPr>
          <w:cnfStyle w:val="100000000000" w:firstRow="1" w:lastRow="0" w:firstColumn="0" w:lastColumn="0" w:oddVBand="0" w:evenVBand="0" w:oddHBand="0" w:evenHBand="0" w:firstRowFirstColumn="0" w:firstRowLastColumn="0" w:lastRowFirstColumn="0" w:lastRowLastColumn="0"/>
        </w:trPr>
        <w:tc>
          <w:tcPr>
            <w:tcW w:w="7920" w:type="dxa"/>
          </w:tcPr>
          <w:p w14:paraId="0557D045" w14:textId="77777777" w:rsidR="0076063B" w:rsidRPr="001E7AFE" w:rsidRDefault="004D5838">
            <w:pPr>
              <w:pStyle w:val="Compact"/>
              <w:jc w:val="center"/>
              <w:rPr>
                <w:color w:val="000000" w:themeColor="text1"/>
              </w:rPr>
            </w:pPr>
            <w:bookmarkStart w:id="9" w:name="fig-flow-ch1"/>
            <w:r w:rsidRPr="001E7AFE">
              <w:rPr>
                <w:noProof/>
                <w:color w:val="000000" w:themeColor="text1"/>
              </w:rPr>
              <w:drawing>
                <wp:inline distT="0" distB="0" distL="0" distR="0" wp14:anchorId="0557D18D" wp14:editId="0557D18E">
                  <wp:extent cx="5943600" cy="3823124"/>
                  <wp:effectExtent l="0" t="0" r="0" b="0"/>
                  <wp:docPr id="33" name="Picture" title="A flowchart showing how exclusion criteria reduce the sample to 197 cases"/>
                  <wp:cNvGraphicFramePr/>
                  <a:graphic xmlns:a="http://schemas.openxmlformats.org/drawingml/2006/main">
                    <a:graphicData uri="http://schemas.openxmlformats.org/drawingml/2006/picture">
                      <pic:pic xmlns:pic="http://schemas.openxmlformats.org/drawingml/2006/picture">
                        <pic:nvPicPr>
                          <pic:cNvPr id="34" name="Picture" descr="flowchart.svg"/>
                          <pic:cNvPicPr>
                            <a:picLocks noChangeAspect="1" noChangeArrowheads="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bwMode="auto">
                          <a:xfrm>
                            <a:off x="0" y="0"/>
                            <a:ext cx="5943600" cy="3823124"/>
                          </a:xfrm>
                          <a:prstGeom prst="rect">
                            <a:avLst/>
                          </a:prstGeom>
                          <a:noFill/>
                          <a:ln w="9525">
                            <a:noFill/>
                            <a:headEnd/>
                            <a:tailEnd/>
                          </a:ln>
                        </pic:spPr>
                      </pic:pic>
                    </a:graphicData>
                  </a:graphic>
                </wp:inline>
              </w:drawing>
            </w:r>
          </w:p>
          <w:p w14:paraId="0557D046" w14:textId="77777777" w:rsidR="0076063B" w:rsidRPr="001E7AFE" w:rsidRDefault="004D5838">
            <w:pPr>
              <w:pStyle w:val="ImageCaption"/>
              <w:spacing w:before="200"/>
              <w:rPr>
                <w:color w:val="000000" w:themeColor="text1"/>
              </w:rPr>
            </w:pPr>
            <w:r w:rsidRPr="001E7AFE">
              <w:rPr>
                <w:color w:val="000000" w:themeColor="text1"/>
              </w:rPr>
              <w:t>Figure 1: Inclusion / Exclusion Flow Chart</w:t>
            </w:r>
          </w:p>
        </w:tc>
        <w:bookmarkEnd w:id="9"/>
      </w:tr>
    </w:tbl>
    <w:p w14:paraId="0557D048" w14:textId="77777777" w:rsidR="0076063B" w:rsidRPr="001E7AFE" w:rsidRDefault="004D5838">
      <w:pPr>
        <w:pStyle w:val="Heading3"/>
        <w:rPr>
          <w:color w:val="000000" w:themeColor="text1"/>
        </w:rPr>
      </w:pPr>
      <w:bookmarkStart w:id="10" w:name="patient-acknowledgement"/>
      <w:bookmarkEnd w:id="8"/>
      <w:r w:rsidRPr="001E7AFE">
        <w:rPr>
          <w:color w:val="000000" w:themeColor="text1"/>
        </w:rPr>
        <w:t>Patient acknowledgement</w:t>
      </w:r>
    </w:p>
    <w:p w14:paraId="0557D049" w14:textId="77777777" w:rsidR="0076063B" w:rsidRPr="001E7AFE" w:rsidRDefault="004D5838">
      <w:pPr>
        <w:pStyle w:val="FirstParagraph"/>
        <w:rPr>
          <w:color w:val="000000" w:themeColor="text1"/>
        </w:rPr>
      </w:pPr>
      <w:r w:rsidRPr="001E7AFE">
        <w:rPr>
          <w:color w:val="000000" w:themeColor="text1"/>
        </w:rPr>
        <w:t>This work uses data that has been provided by patients and collected by the NHS as part of their care and support. The data is collated, maintained and quality assured by the National Cancer Registration and Analysis Service, which is part of NHS England.</w:t>
      </w:r>
    </w:p>
    <w:p w14:paraId="0557D04A" w14:textId="77777777" w:rsidR="0076063B" w:rsidRPr="001E7AFE" w:rsidRDefault="004D5838">
      <w:pPr>
        <w:rPr>
          <w:color w:val="000000" w:themeColor="text1"/>
        </w:rPr>
      </w:pPr>
      <w:r w:rsidRPr="001E7AFE">
        <w:rPr>
          <w:color w:val="000000" w:themeColor="text1"/>
        </w:rPr>
        <w:br w:type="page"/>
      </w:r>
    </w:p>
    <w:p w14:paraId="0557D04B" w14:textId="77777777" w:rsidR="0076063B" w:rsidRPr="001E7AFE" w:rsidRDefault="004D5838">
      <w:pPr>
        <w:pStyle w:val="Heading2"/>
        <w:rPr>
          <w:color w:val="000000" w:themeColor="text1"/>
        </w:rPr>
      </w:pPr>
      <w:bookmarkStart w:id="11" w:name="results"/>
      <w:bookmarkEnd w:id="4"/>
      <w:bookmarkEnd w:id="10"/>
      <w:r w:rsidRPr="001E7AFE">
        <w:rPr>
          <w:color w:val="000000" w:themeColor="text1"/>
        </w:rPr>
        <w:lastRenderedPageBreak/>
        <w:t>Results</w:t>
      </w:r>
    </w:p>
    <w:p w14:paraId="0557D04C" w14:textId="77777777" w:rsidR="0076063B" w:rsidRPr="001E7AFE" w:rsidRDefault="004D5838">
      <w:pPr>
        <w:pStyle w:val="Heading3"/>
        <w:rPr>
          <w:color w:val="000000" w:themeColor="text1"/>
        </w:rPr>
      </w:pPr>
      <w:bookmarkStart w:id="12" w:name="age-at-start-of-treatment"/>
      <w:r w:rsidRPr="001E7AFE">
        <w:rPr>
          <w:color w:val="000000" w:themeColor="text1"/>
        </w:rPr>
        <w:t>Age at start of treatment</w:t>
      </w:r>
    </w:p>
    <w:p w14:paraId="0557D04D" w14:textId="7F6FC579" w:rsidR="0076063B" w:rsidRPr="001E7AFE" w:rsidRDefault="004D5838">
      <w:pPr>
        <w:pStyle w:val="FirstParagraph"/>
        <w:rPr>
          <w:color w:val="000000" w:themeColor="text1"/>
        </w:rPr>
      </w:pPr>
      <w:r w:rsidRPr="001E7AFE">
        <w:rPr>
          <w:color w:val="000000" w:themeColor="text1"/>
        </w:rPr>
        <w:t xml:space="preserve">The table below sets out the mean age, standard deviation, median age and interquartile range (IQR) of patients who have received any </w:t>
      </w:r>
      <w:r w:rsidR="000930EB" w:rsidRPr="001E7AFE">
        <w:rPr>
          <w:color w:val="000000" w:themeColor="text1"/>
        </w:rPr>
        <w:t xml:space="preserve">inferred </w:t>
      </w:r>
      <w:r w:rsidRPr="001E7AFE">
        <w:rPr>
          <w:color w:val="000000" w:themeColor="text1"/>
        </w:rPr>
        <w:t>second line treatment for HER2-positive gastric or gastroesophageal junction adenocarcinoma. Age is measured at the commencement of the second-line treatment regimen.</w:t>
      </w:r>
    </w:p>
    <w:p w14:paraId="0557D04E" w14:textId="77777777" w:rsidR="0076063B" w:rsidRPr="001E7AFE" w:rsidRDefault="0076063B">
      <w:pPr>
        <w:pStyle w:val="BodyText"/>
        <w:rPr>
          <w:color w:val="000000" w:themeColor="text1"/>
        </w:rPr>
      </w:pPr>
    </w:p>
    <w:tbl>
      <w:tblPr>
        <w:tblW w:w="0" w:type="auto"/>
        <w:jc w:val="center"/>
        <w:tblCellMar>
          <w:left w:w="60" w:type="dxa"/>
          <w:right w:w="60" w:type="dxa"/>
        </w:tblCellMar>
        <w:tblLook w:val="0000" w:firstRow="0" w:lastRow="0" w:firstColumn="0" w:lastColumn="0" w:noHBand="0" w:noVBand="0"/>
      </w:tblPr>
      <w:tblGrid>
        <w:gridCol w:w="1991"/>
        <w:gridCol w:w="1756"/>
        <w:gridCol w:w="1756"/>
      </w:tblGrid>
      <w:tr w:rsidR="0076063B" w:rsidRPr="001E7AFE" w14:paraId="0557D052" w14:textId="77777777">
        <w:trPr>
          <w:cantSplit/>
          <w:tblHeader/>
          <w:jc w:val="center"/>
        </w:trPr>
        <w:tc>
          <w:tcPr>
            <w:tcW w:w="0" w:type="auto"/>
            <w:tcBorders>
              <w:top w:val="single" w:sz="16" w:space="0" w:color="D3D3D3"/>
              <w:left w:val="single" w:sz="0" w:space="0" w:color="D3D3D3"/>
              <w:bottom w:val="single" w:sz="16" w:space="0" w:color="D3D3D3"/>
            </w:tcBorders>
          </w:tcPr>
          <w:p w14:paraId="0557D04F" w14:textId="77777777" w:rsidR="0076063B" w:rsidRPr="001E7AFE" w:rsidRDefault="004D5838">
            <w:pPr>
              <w:keepNext/>
              <w:spacing w:after="60"/>
              <w:rPr>
                <w:color w:val="000000" w:themeColor="text1"/>
              </w:rPr>
            </w:pPr>
            <w:r w:rsidRPr="001E7AFE">
              <w:rPr>
                <w:rFonts w:ascii="Calibri" w:hAnsi="Calibri"/>
                <w:b/>
                <w:color w:val="000000" w:themeColor="text1"/>
                <w:sz w:val="20"/>
              </w:rPr>
              <w:t>Characteristic</w:t>
            </w:r>
          </w:p>
        </w:tc>
        <w:tc>
          <w:tcPr>
            <w:tcW w:w="0" w:type="auto"/>
            <w:tcBorders>
              <w:top w:val="single" w:sz="16" w:space="0" w:color="D3D3D3"/>
              <w:bottom w:val="single" w:sz="16" w:space="0" w:color="D3D3D3"/>
            </w:tcBorders>
          </w:tcPr>
          <w:p w14:paraId="0557D050" w14:textId="77777777" w:rsidR="0076063B" w:rsidRPr="001E7AFE" w:rsidRDefault="004D5838">
            <w:pPr>
              <w:keepNext/>
              <w:spacing w:after="60"/>
              <w:jc w:val="center"/>
              <w:rPr>
                <w:color w:val="000000" w:themeColor="text1"/>
              </w:rPr>
            </w:pPr>
            <w:r w:rsidRPr="001E7AFE">
              <w:rPr>
                <w:rFonts w:ascii="Calibri" w:hAnsi="Calibri"/>
                <w:b/>
                <w:color w:val="000000" w:themeColor="text1"/>
                <w:sz w:val="20"/>
              </w:rPr>
              <w:t>Female</w:t>
            </w:r>
            <w:r w:rsidRPr="001E7AFE">
              <w:rPr>
                <w:rFonts w:ascii="Calibri" w:hAnsi="Calibri"/>
                <w:color w:val="000000" w:themeColor="text1"/>
                <w:sz w:val="20"/>
              </w:rPr>
              <w:t xml:space="preserve"> N = 42</w:t>
            </w:r>
            <w:r w:rsidRPr="001E7AFE">
              <w:rPr>
                <w:rFonts w:ascii="Calibri" w:hAnsi="Calibri"/>
                <w:i/>
                <w:color w:val="000000" w:themeColor="text1"/>
                <w:sz w:val="20"/>
                <w:vertAlign w:val="superscript"/>
              </w:rPr>
              <w:t>1</w:t>
            </w:r>
          </w:p>
        </w:tc>
        <w:tc>
          <w:tcPr>
            <w:tcW w:w="0" w:type="auto"/>
            <w:tcBorders>
              <w:top w:val="single" w:sz="16" w:space="0" w:color="D3D3D3"/>
              <w:bottom w:val="single" w:sz="16" w:space="0" w:color="D3D3D3"/>
              <w:right w:val="single" w:sz="0" w:space="0" w:color="D3D3D3"/>
            </w:tcBorders>
          </w:tcPr>
          <w:p w14:paraId="0557D051" w14:textId="77777777" w:rsidR="0076063B" w:rsidRPr="001E7AFE" w:rsidRDefault="004D5838">
            <w:pPr>
              <w:keepNext/>
              <w:spacing w:after="60"/>
              <w:jc w:val="center"/>
              <w:rPr>
                <w:color w:val="000000" w:themeColor="text1"/>
              </w:rPr>
            </w:pPr>
            <w:r w:rsidRPr="001E7AFE">
              <w:rPr>
                <w:rFonts w:ascii="Calibri" w:hAnsi="Calibri"/>
                <w:b/>
                <w:color w:val="000000" w:themeColor="text1"/>
                <w:sz w:val="20"/>
              </w:rPr>
              <w:t>Male</w:t>
            </w:r>
            <w:r w:rsidRPr="001E7AFE">
              <w:rPr>
                <w:rFonts w:ascii="Calibri" w:hAnsi="Calibri"/>
                <w:color w:val="000000" w:themeColor="text1"/>
                <w:sz w:val="20"/>
              </w:rPr>
              <w:t xml:space="preserve"> N = 141</w:t>
            </w:r>
            <w:r w:rsidRPr="001E7AFE">
              <w:rPr>
                <w:rFonts w:ascii="Calibri" w:hAnsi="Calibri"/>
                <w:i/>
                <w:color w:val="000000" w:themeColor="text1"/>
                <w:sz w:val="20"/>
                <w:vertAlign w:val="superscript"/>
              </w:rPr>
              <w:t>1</w:t>
            </w:r>
          </w:p>
        </w:tc>
      </w:tr>
      <w:tr w:rsidR="0076063B" w:rsidRPr="001E7AFE" w14:paraId="0557D056"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053" w14:textId="77777777" w:rsidR="0076063B" w:rsidRPr="001E7AFE" w:rsidRDefault="004D5838">
            <w:pPr>
              <w:keepNext/>
              <w:spacing w:after="60"/>
              <w:rPr>
                <w:color w:val="000000" w:themeColor="text1"/>
              </w:rPr>
            </w:pPr>
            <w:r w:rsidRPr="001E7AFE">
              <w:rPr>
                <w:rFonts w:ascii="Calibri" w:hAnsi="Calibri"/>
                <w:color w:val="000000" w:themeColor="text1"/>
                <w:sz w:val="20"/>
              </w:rPr>
              <w:t>Age at start of regimen</w:t>
            </w:r>
          </w:p>
        </w:tc>
        <w:tc>
          <w:tcPr>
            <w:tcW w:w="0" w:type="auto"/>
            <w:tcBorders>
              <w:top w:val="single" w:sz="0" w:space="0" w:color="D3D3D3"/>
              <w:left w:val="single" w:sz="0" w:space="0" w:color="D3D3D3"/>
              <w:bottom w:val="single" w:sz="0" w:space="0" w:color="D3D3D3"/>
              <w:right w:val="single" w:sz="0" w:space="0" w:color="D3D3D3"/>
            </w:tcBorders>
          </w:tcPr>
          <w:p w14:paraId="0557D054" w14:textId="77777777" w:rsidR="0076063B" w:rsidRPr="001E7AFE" w:rsidRDefault="004D5838">
            <w:pPr>
              <w:keepNext/>
              <w:spacing w:after="60"/>
              <w:jc w:val="center"/>
              <w:rPr>
                <w:color w:val="000000" w:themeColor="text1"/>
              </w:rPr>
            </w:pPr>
            <w:r w:rsidRPr="001E7AFE">
              <w:rPr>
                <w:rFonts w:ascii="Calibri" w:hAnsi="Calibri"/>
                <w:color w:val="000000" w:themeColor="text1"/>
                <w:sz w:val="20"/>
              </w:rPr>
              <w:t>65, (11</w:t>
            </w:r>
            <w:proofErr w:type="gramStart"/>
            <w:r w:rsidRPr="001E7AFE">
              <w:rPr>
                <w:rFonts w:ascii="Calibri" w:hAnsi="Calibri"/>
                <w:color w:val="000000" w:themeColor="text1"/>
                <w:sz w:val="20"/>
              </w:rPr>
              <w:t>) :</w:t>
            </w:r>
            <w:proofErr w:type="gramEnd"/>
            <w:r w:rsidRPr="001E7AFE">
              <w:rPr>
                <w:rFonts w:ascii="Calibri" w:hAnsi="Calibri"/>
                <w:color w:val="000000" w:themeColor="text1"/>
                <w:sz w:val="20"/>
              </w:rPr>
              <w:t xml:space="preserve"> 67 (57, 74)</w:t>
            </w:r>
          </w:p>
        </w:tc>
        <w:tc>
          <w:tcPr>
            <w:tcW w:w="0" w:type="auto"/>
            <w:tcBorders>
              <w:top w:val="single" w:sz="0" w:space="0" w:color="D3D3D3"/>
              <w:left w:val="single" w:sz="0" w:space="0" w:color="D3D3D3"/>
              <w:bottom w:val="single" w:sz="0" w:space="0" w:color="D3D3D3"/>
              <w:right w:val="single" w:sz="0" w:space="0" w:color="D3D3D3"/>
            </w:tcBorders>
          </w:tcPr>
          <w:p w14:paraId="0557D055" w14:textId="77777777" w:rsidR="0076063B" w:rsidRPr="001E7AFE" w:rsidRDefault="004D5838">
            <w:pPr>
              <w:keepNext/>
              <w:spacing w:after="60"/>
              <w:jc w:val="center"/>
              <w:rPr>
                <w:color w:val="000000" w:themeColor="text1"/>
              </w:rPr>
            </w:pPr>
            <w:r w:rsidRPr="001E7AFE">
              <w:rPr>
                <w:rFonts w:ascii="Calibri" w:hAnsi="Calibri"/>
                <w:color w:val="000000" w:themeColor="text1"/>
                <w:sz w:val="20"/>
              </w:rPr>
              <w:t>65, (12</w:t>
            </w:r>
            <w:proofErr w:type="gramStart"/>
            <w:r w:rsidRPr="001E7AFE">
              <w:rPr>
                <w:rFonts w:ascii="Calibri" w:hAnsi="Calibri"/>
                <w:color w:val="000000" w:themeColor="text1"/>
                <w:sz w:val="20"/>
              </w:rPr>
              <w:t>) :</w:t>
            </w:r>
            <w:proofErr w:type="gramEnd"/>
            <w:r w:rsidRPr="001E7AFE">
              <w:rPr>
                <w:rFonts w:ascii="Calibri" w:hAnsi="Calibri"/>
                <w:color w:val="000000" w:themeColor="text1"/>
                <w:sz w:val="20"/>
              </w:rPr>
              <w:t xml:space="preserve"> 68 (58, 73)</w:t>
            </w:r>
          </w:p>
        </w:tc>
      </w:tr>
      <w:tr w:rsidR="0076063B" w:rsidRPr="001E7AFE" w14:paraId="0557D058" w14:textId="77777777">
        <w:trPr>
          <w:cantSplit/>
          <w:jc w:val="center"/>
        </w:trPr>
        <w:tc>
          <w:tcPr>
            <w:tcW w:w="0" w:type="auto"/>
            <w:gridSpan w:val="3"/>
          </w:tcPr>
          <w:p w14:paraId="0557D057" w14:textId="77777777" w:rsidR="0076063B" w:rsidRPr="001E7AFE" w:rsidRDefault="004D5838">
            <w:pPr>
              <w:keepNext/>
              <w:spacing w:after="60"/>
              <w:rPr>
                <w:color w:val="000000" w:themeColor="text1"/>
              </w:rPr>
            </w:pPr>
            <w:r w:rsidRPr="001E7AFE">
              <w:rPr>
                <w:rFonts w:ascii="Calibri" w:hAnsi="Calibri"/>
                <w:i/>
                <w:color w:val="000000" w:themeColor="text1"/>
                <w:sz w:val="20"/>
                <w:vertAlign w:val="superscript"/>
              </w:rPr>
              <w:t>1</w:t>
            </w:r>
            <w:r w:rsidRPr="001E7AFE">
              <w:rPr>
                <w:rFonts w:ascii="Calibri" w:hAnsi="Calibri"/>
                <w:color w:val="000000" w:themeColor="text1"/>
                <w:sz w:val="20"/>
              </w:rPr>
              <w:t>Mean, (SD</w:t>
            </w:r>
            <w:proofErr w:type="gramStart"/>
            <w:r w:rsidRPr="001E7AFE">
              <w:rPr>
                <w:rFonts w:ascii="Calibri" w:hAnsi="Calibri"/>
                <w:color w:val="000000" w:themeColor="text1"/>
                <w:sz w:val="20"/>
              </w:rPr>
              <w:t>) :</w:t>
            </w:r>
            <w:proofErr w:type="gramEnd"/>
            <w:r w:rsidRPr="001E7AFE">
              <w:rPr>
                <w:rFonts w:ascii="Calibri" w:hAnsi="Calibri"/>
                <w:color w:val="000000" w:themeColor="text1"/>
                <w:sz w:val="20"/>
              </w:rPr>
              <w:t xml:space="preserve"> Median (Q1, Q3)</w:t>
            </w:r>
          </w:p>
        </w:tc>
      </w:tr>
    </w:tbl>
    <w:tbl>
      <w:tblPr>
        <w:tblStyle w:val="Table"/>
        <w:tblW w:w="5000" w:type="pct"/>
        <w:tblLayout w:type="fixed"/>
        <w:tblLook w:val="0020" w:firstRow="1" w:lastRow="0" w:firstColumn="0" w:lastColumn="0" w:noHBand="0" w:noVBand="0"/>
      </w:tblPr>
      <w:tblGrid>
        <w:gridCol w:w="9360"/>
      </w:tblGrid>
      <w:tr w:rsidR="0076063B" w:rsidRPr="001E7AFE" w14:paraId="0557D05C" w14:textId="77777777" w:rsidTr="001E7AFE">
        <w:trPr>
          <w:cnfStyle w:val="100000000000" w:firstRow="1" w:lastRow="0" w:firstColumn="0" w:lastColumn="0" w:oddVBand="0" w:evenVBand="0" w:oddHBand="0" w:evenHBand="0" w:firstRowFirstColumn="0" w:firstRowLastColumn="0" w:lastRowFirstColumn="0" w:lastRowLastColumn="0"/>
        </w:trPr>
        <w:tc>
          <w:tcPr>
            <w:tcW w:w="7920" w:type="dxa"/>
          </w:tcPr>
          <w:p w14:paraId="0557D05B" w14:textId="2EA8BCA6" w:rsidR="0076063B" w:rsidRPr="001E7AFE" w:rsidRDefault="004D5838">
            <w:pPr>
              <w:pStyle w:val="ImageCaption"/>
              <w:spacing w:before="200"/>
              <w:rPr>
                <w:color w:val="000000" w:themeColor="text1"/>
              </w:rPr>
            </w:pPr>
            <w:bookmarkStart w:id="13" w:name="tbl-age-dist-ch1"/>
            <w:r w:rsidRPr="001E7AFE">
              <w:rPr>
                <w:color w:val="000000" w:themeColor="text1"/>
              </w:rPr>
              <w:t>Table 1: Mean age, standard deviation, median age and IQR of patients who have received any second line treatment</w:t>
            </w:r>
          </w:p>
        </w:tc>
        <w:bookmarkEnd w:id="13"/>
      </w:tr>
    </w:tbl>
    <w:p w14:paraId="0557D05D" w14:textId="77777777" w:rsidR="0076063B" w:rsidRPr="001E7AFE" w:rsidRDefault="004D5838">
      <w:pPr>
        <w:pStyle w:val="Heading3"/>
        <w:rPr>
          <w:color w:val="000000" w:themeColor="text1"/>
        </w:rPr>
      </w:pPr>
      <w:bookmarkStart w:id="14" w:name="overall-survival"/>
      <w:bookmarkEnd w:id="12"/>
      <w:r w:rsidRPr="001E7AFE">
        <w:rPr>
          <w:color w:val="000000" w:themeColor="text1"/>
        </w:rPr>
        <w:t>Overall survival</w:t>
      </w:r>
    </w:p>
    <w:p w14:paraId="0557D05E" w14:textId="77777777" w:rsidR="0076063B" w:rsidRPr="001E7AFE" w:rsidRDefault="004D5838">
      <w:pPr>
        <w:pStyle w:val="Heading4"/>
        <w:rPr>
          <w:color w:val="000000" w:themeColor="text1"/>
        </w:rPr>
      </w:pPr>
      <w:bookmarkStart w:id="15" w:name="base-k-m-plot"/>
      <w:r w:rsidRPr="001E7AFE">
        <w:rPr>
          <w:color w:val="000000" w:themeColor="text1"/>
        </w:rPr>
        <w:t>Base K-M plot</w:t>
      </w:r>
    </w:p>
    <w:p w14:paraId="0557D05F" w14:textId="77777777" w:rsidR="0076063B" w:rsidRPr="001E7AFE" w:rsidRDefault="004D5838">
      <w:pPr>
        <w:pStyle w:val="FirstParagraph"/>
        <w:rPr>
          <w:color w:val="000000" w:themeColor="text1"/>
        </w:rPr>
      </w:pPr>
      <w:r w:rsidRPr="001E7AFE">
        <w:rPr>
          <w:color w:val="000000" w:themeColor="text1"/>
        </w:rPr>
        <w:t>The Kaplan-Meier plot below shows survival over time for those receiving a second-line regimen after prior treatment with trastuzumab.</w:t>
      </w:r>
    </w:p>
    <w:p w14:paraId="0557D060" w14:textId="77777777" w:rsidR="0076063B" w:rsidRPr="001E7AFE" w:rsidRDefault="004D5838">
      <w:pPr>
        <w:pStyle w:val="BodyText"/>
        <w:rPr>
          <w:color w:val="000000" w:themeColor="text1"/>
        </w:rPr>
      </w:pPr>
      <w:r w:rsidRPr="001E7AFE">
        <w:rPr>
          <w:color w:val="000000" w:themeColor="text1"/>
        </w:rPr>
        <w:t>Median survival was 6.18 months. Restricted mean survival (over the whole curve) was 8.88 months. The minimum follow-up time was 0.5 months, median 6.2 months, and maximum follow-up time of 50.8 months.</w:t>
      </w:r>
    </w:p>
    <w:tbl>
      <w:tblPr>
        <w:tblStyle w:val="Table"/>
        <w:tblW w:w="5000" w:type="pct"/>
        <w:tblLayout w:type="fixed"/>
        <w:tblLook w:val="0020" w:firstRow="1" w:lastRow="0" w:firstColumn="0" w:lastColumn="0" w:noHBand="0" w:noVBand="0"/>
      </w:tblPr>
      <w:tblGrid>
        <w:gridCol w:w="9360"/>
      </w:tblGrid>
      <w:tr w:rsidR="0076063B" w:rsidRPr="001E7AFE" w14:paraId="0557D063" w14:textId="77777777" w:rsidTr="001E7AFE">
        <w:trPr>
          <w:cnfStyle w:val="100000000000" w:firstRow="1" w:lastRow="0" w:firstColumn="0" w:lastColumn="0" w:oddVBand="0" w:evenVBand="0" w:oddHBand="0" w:evenHBand="0" w:firstRowFirstColumn="0" w:firstRowLastColumn="0" w:lastRowFirstColumn="0" w:lastRowLastColumn="0"/>
        </w:trPr>
        <w:tc>
          <w:tcPr>
            <w:tcW w:w="7920" w:type="dxa"/>
          </w:tcPr>
          <w:p w14:paraId="0557D061" w14:textId="77777777" w:rsidR="0076063B" w:rsidRPr="001E7AFE" w:rsidRDefault="004D5838">
            <w:pPr>
              <w:pStyle w:val="Compact"/>
              <w:jc w:val="center"/>
              <w:rPr>
                <w:color w:val="000000" w:themeColor="text1"/>
              </w:rPr>
            </w:pPr>
            <w:bookmarkStart w:id="16" w:name="fig-km-ch1"/>
            <w:r w:rsidRPr="001E7AFE">
              <w:rPr>
                <w:noProof/>
                <w:color w:val="000000" w:themeColor="text1"/>
              </w:rPr>
              <w:lastRenderedPageBreak/>
              <w:drawing>
                <wp:inline distT="0" distB="0" distL="0" distR="0" wp14:anchorId="0557D18F" wp14:editId="0557D190">
                  <wp:extent cx="5943600" cy="3657600"/>
                  <wp:effectExtent l="0" t="0" r="0" b="0"/>
                  <wp:docPr id="42" name="Picture" title="A Kaplan-Meier plot showing overall survival over time for individuals who have received second line treatment after trastuzumab."/>
                  <wp:cNvGraphicFramePr/>
                  <a:graphic xmlns:a="http://schemas.openxmlformats.org/drawingml/2006/main">
                    <a:graphicData uri="http://schemas.openxmlformats.org/drawingml/2006/picture">
                      <pic:pic xmlns:pic="http://schemas.openxmlformats.org/drawingml/2006/picture">
                        <pic:nvPicPr>
                          <pic:cNvPr id="43" name="Picture" descr="ID6680_trastuzumab_deruxtecan_gastric_files/figure-docx/fig-km-ch1-1.png"/>
                          <pic:cNvPicPr>
                            <a:picLocks noChangeAspect="1" noChangeArrowheads="1"/>
                          </pic:cNvPicPr>
                        </pic:nvPicPr>
                        <pic:blipFill>
                          <a:blip r:embed="rId16"/>
                          <a:stretch>
                            <a:fillRect/>
                          </a:stretch>
                        </pic:blipFill>
                        <pic:spPr bwMode="auto">
                          <a:xfrm>
                            <a:off x="0" y="0"/>
                            <a:ext cx="5943600" cy="3657600"/>
                          </a:xfrm>
                          <a:prstGeom prst="rect">
                            <a:avLst/>
                          </a:prstGeom>
                          <a:noFill/>
                          <a:ln w="9525">
                            <a:noFill/>
                            <a:headEnd/>
                            <a:tailEnd/>
                          </a:ln>
                        </pic:spPr>
                      </pic:pic>
                    </a:graphicData>
                  </a:graphic>
                </wp:inline>
              </w:drawing>
            </w:r>
          </w:p>
          <w:p w14:paraId="0557D062" w14:textId="77777777" w:rsidR="0076063B" w:rsidRPr="001E7AFE" w:rsidRDefault="004D5838">
            <w:pPr>
              <w:pStyle w:val="ImageCaption"/>
              <w:spacing w:before="200"/>
              <w:rPr>
                <w:color w:val="000000" w:themeColor="text1"/>
              </w:rPr>
            </w:pPr>
            <w:r w:rsidRPr="001E7AFE">
              <w:rPr>
                <w:color w:val="000000" w:themeColor="text1"/>
              </w:rPr>
              <w:t>Figure 2: Overall survival amongst patients who have received second line treatment after trastuzumab</w:t>
            </w:r>
          </w:p>
        </w:tc>
        <w:bookmarkEnd w:id="16"/>
      </w:tr>
    </w:tbl>
    <w:p w14:paraId="0557D064" w14:textId="77777777" w:rsidR="0076063B" w:rsidRPr="001E7AFE" w:rsidRDefault="004D5838">
      <w:pPr>
        <w:rPr>
          <w:color w:val="000000" w:themeColor="text1"/>
        </w:rPr>
      </w:pPr>
      <w:r w:rsidRPr="001E7AFE">
        <w:rPr>
          <w:color w:val="000000" w:themeColor="text1"/>
        </w:rPr>
        <w:br w:type="page"/>
      </w:r>
    </w:p>
    <w:p w14:paraId="0557D065" w14:textId="77777777" w:rsidR="0076063B" w:rsidRPr="001E7AFE" w:rsidRDefault="004D5838">
      <w:pPr>
        <w:pStyle w:val="Heading4"/>
        <w:rPr>
          <w:color w:val="000000" w:themeColor="text1"/>
        </w:rPr>
      </w:pPr>
      <w:bookmarkStart w:id="17" w:name="exponential"/>
      <w:bookmarkEnd w:id="15"/>
      <w:r w:rsidRPr="001E7AFE">
        <w:rPr>
          <w:color w:val="000000" w:themeColor="text1"/>
        </w:rPr>
        <w:lastRenderedPageBreak/>
        <w:t>Exponential</w:t>
      </w:r>
    </w:p>
    <w:tbl>
      <w:tblPr>
        <w:tblStyle w:val="Table"/>
        <w:tblW w:w="5000" w:type="pct"/>
        <w:tblLayout w:type="fixed"/>
        <w:tblLook w:val="0020" w:firstRow="1" w:lastRow="0" w:firstColumn="0" w:lastColumn="0" w:noHBand="0" w:noVBand="0"/>
      </w:tblPr>
      <w:tblGrid>
        <w:gridCol w:w="9360"/>
      </w:tblGrid>
      <w:tr w:rsidR="0076063B" w:rsidRPr="001E7AFE" w14:paraId="0557D068" w14:textId="77777777" w:rsidTr="001E7AFE">
        <w:trPr>
          <w:cnfStyle w:val="100000000000" w:firstRow="1" w:lastRow="0" w:firstColumn="0" w:lastColumn="0" w:oddVBand="0" w:evenVBand="0" w:oddHBand="0" w:evenHBand="0" w:firstRowFirstColumn="0" w:firstRowLastColumn="0" w:lastRowFirstColumn="0" w:lastRowLastColumn="0"/>
        </w:trPr>
        <w:tc>
          <w:tcPr>
            <w:tcW w:w="7920" w:type="dxa"/>
          </w:tcPr>
          <w:p w14:paraId="0557D066" w14:textId="77777777" w:rsidR="0076063B" w:rsidRPr="001E7AFE" w:rsidRDefault="004D5838">
            <w:pPr>
              <w:pStyle w:val="Compact"/>
              <w:jc w:val="center"/>
              <w:rPr>
                <w:color w:val="000000" w:themeColor="text1"/>
              </w:rPr>
            </w:pPr>
            <w:bookmarkStart w:id="18" w:name="fig-km_exp-ch1"/>
            <w:r w:rsidRPr="001E7AFE">
              <w:rPr>
                <w:noProof/>
                <w:color w:val="000000" w:themeColor="text1"/>
              </w:rPr>
              <w:drawing>
                <wp:inline distT="0" distB="0" distL="0" distR="0" wp14:anchorId="0557D191" wp14:editId="0557D192">
                  <wp:extent cx="5943600" cy="3657600"/>
                  <wp:effectExtent l="0" t="0" r="0" b="0"/>
                  <wp:docPr id="47" name="Picture" title="A Kaplan-Meier plot showing overall survival over time for individuals who have received second line treatment after trastuzumab, with an overlaid exponential model fit."/>
                  <wp:cNvGraphicFramePr/>
                  <a:graphic xmlns:a="http://schemas.openxmlformats.org/drawingml/2006/main">
                    <a:graphicData uri="http://schemas.openxmlformats.org/drawingml/2006/picture">
                      <pic:pic xmlns:pic="http://schemas.openxmlformats.org/drawingml/2006/picture">
                        <pic:nvPicPr>
                          <pic:cNvPr id="48" name="Picture" descr="ID6680_trastuzumab_deruxtecan_gastric_files/figure-docx/fig-km_exp-ch1-1.png"/>
                          <pic:cNvPicPr>
                            <a:picLocks noChangeAspect="1" noChangeArrowheads="1"/>
                          </pic:cNvPicPr>
                        </pic:nvPicPr>
                        <pic:blipFill>
                          <a:blip r:embed="rId17"/>
                          <a:stretch>
                            <a:fillRect/>
                          </a:stretch>
                        </pic:blipFill>
                        <pic:spPr bwMode="auto">
                          <a:xfrm>
                            <a:off x="0" y="0"/>
                            <a:ext cx="5943600" cy="3657600"/>
                          </a:xfrm>
                          <a:prstGeom prst="rect">
                            <a:avLst/>
                          </a:prstGeom>
                          <a:noFill/>
                          <a:ln w="9525">
                            <a:noFill/>
                            <a:headEnd/>
                            <a:tailEnd/>
                          </a:ln>
                        </pic:spPr>
                      </pic:pic>
                    </a:graphicData>
                  </a:graphic>
                </wp:inline>
              </w:drawing>
            </w:r>
          </w:p>
          <w:p w14:paraId="0557D067" w14:textId="77777777" w:rsidR="0076063B" w:rsidRPr="001E7AFE" w:rsidRDefault="004D5838">
            <w:pPr>
              <w:pStyle w:val="ImageCaption"/>
              <w:spacing w:before="200"/>
              <w:rPr>
                <w:color w:val="000000" w:themeColor="text1"/>
              </w:rPr>
            </w:pPr>
            <w:r w:rsidRPr="001E7AFE">
              <w:rPr>
                <w:color w:val="000000" w:themeColor="text1"/>
              </w:rPr>
              <w:t>Figure 3: Overall survival against exponential survival function</w:t>
            </w:r>
          </w:p>
        </w:tc>
        <w:bookmarkEnd w:id="18"/>
      </w:tr>
    </w:tbl>
    <w:p w14:paraId="0557D069" w14:textId="77777777" w:rsidR="0076063B" w:rsidRPr="001E7AFE" w:rsidRDefault="0076063B">
      <w:pPr>
        <w:pStyle w:val="BodyText"/>
        <w:rPr>
          <w:color w:val="000000" w:themeColor="text1"/>
        </w:rPr>
      </w:pPr>
    </w:p>
    <w:tbl>
      <w:tblPr>
        <w:tblW w:w="0" w:type="auto"/>
        <w:jc w:val="center"/>
        <w:tblCellMar>
          <w:left w:w="60" w:type="dxa"/>
          <w:right w:w="60" w:type="dxa"/>
        </w:tblCellMar>
        <w:tblLook w:val="0000" w:firstRow="0" w:lastRow="0" w:firstColumn="0" w:lastColumn="0" w:noHBand="0" w:noVBand="0"/>
      </w:tblPr>
      <w:tblGrid>
        <w:gridCol w:w="990"/>
        <w:gridCol w:w="831"/>
        <w:gridCol w:w="892"/>
        <w:gridCol w:w="881"/>
        <w:gridCol w:w="1345"/>
      </w:tblGrid>
      <w:tr w:rsidR="0076063B" w:rsidRPr="001E7AFE" w14:paraId="0557D06F" w14:textId="77777777">
        <w:trPr>
          <w:cantSplit/>
          <w:tblHeader/>
          <w:jc w:val="center"/>
        </w:trPr>
        <w:tc>
          <w:tcPr>
            <w:tcW w:w="0" w:type="auto"/>
            <w:tcBorders>
              <w:top w:val="single" w:sz="16" w:space="0" w:color="D3D3D3"/>
              <w:left w:val="single" w:sz="0" w:space="0" w:color="D3D3D3"/>
              <w:bottom w:val="single" w:sz="16" w:space="0" w:color="D3D3D3"/>
            </w:tcBorders>
          </w:tcPr>
          <w:p w14:paraId="0557D06A" w14:textId="77777777" w:rsidR="0076063B" w:rsidRPr="001E7AFE" w:rsidRDefault="004D5838">
            <w:pPr>
              <w:keepNext/>
              <w:spacing w:after="60"/>
              <w:rPr>
                <w:color w:val="000000" w:themeColor="text1"/>
              </w:rPr>
            </w:pPr>
            <w:r w:rsidRPr="001E7AFE">
              <w:rPr>
                <w:rFonts w:ascii="Calibri" w:hAnsi="Calibri"/>
                <w:color w:val="000000" w:themeColor="text1"/>
                <w:sz w:val="20"/>
              </w:rPr>
              <w:t>Parameter</w:t>
            </w:r>
          </w:p>
        </w:tc>
        <w:tc>
          <w:tcPr>
            <w:tcW w:w="0" w:type="auto"/>
            <w:tcBorders>
              <w:top w:val="single" w:sz="16" w:space="0" w:color="D3D3D3"/>
              <w:bottom w:val="single" w:sz="16" w:space="0" w:color="D3D3D3"/>
            </w:tcBorders>
          </w:tcPr>
          <w:p w14:paraId="0557D06B"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Estimate</w:t>
            </w:r>
          </w:p>
        </w:tc>
        <w:tc>
          <w:tcPr>
            <w:tcW w:w="0" w:type="auto"/>
            <w:tcBorders>
              <w:top w:val="single" w:sz="16" w:space="0" w:color="D3D3D3"/>
              <w:bottom w:val="single" w:sz="16" w:space="0" w:color="D3D3D3"/>
            </w:tcBorders>
          </w:tcPr>
          <w:p w14:paraId="0557D06C"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Std. Error</w:t>
            </w:r>
          </w:p>
        </w:tc>
        <w:tc>
          <w:tcPr>
            <w:tcW w:w="0" w:type="auto"/>
            <w:tcBorders>
              <w:top w:val="single" w:sz="16" w:space="0" w:color="D3D3D3"/>
              <w:bottom w:val="single" w:sz="16" w:space="0" w:color="D3D3D3"/>
            </w:tcBorders>
          </w:tcPr>
          <w:p w14:paraId="0557D06D"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z</w:t>
            </w:r>
          </w:p>
        </w:tc>
        <w:tc>
          <w:tcPr>
            <w:tcW w:w="0" w:type="auto"/>
            <w:tcBorders>
              <w:top w:val="single" w:sz="16" w:space="0" w:color="D3D3D3"/>
              <w:bottom w:val="single" w:sz="16" w:space="0" w:color="D3D3D3"/>
              <w:right w:val="single" w:sz="0" w:space="0" w:color="D3D3D3"/>
            </w:tcBorders>
          </w:tcPr>
          <w:p w14:paraId="0557D06E"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p-value</w:t>
            </w:r>
          </w:p>
        </w:tc>
      </w:tr>
      <w:tr w:rsidR="0076063B" w:rsidRPr="001E7AFE" w14:paraId="0557D075"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070" w14:textId="77777777" w:rsidR="0076063B" w:rsidRPr="001E7AFE" w:rsidRDefault="004D5838">
            <w:pPr>
              <w:keepNext/>
              <w:spacing w:after="60"/>
              <w:rPr>
                <w:color w:val="000000" w:themeColor="text1"/>
              </w:rPr>
            </w:pPr>
            <w:r w:rsidRPr="001E7AFE">
              <w:rPr>
                <w:rFonts w:ascii="Calibri" w:hAnsi="Calibri"/>
                <w:color w:val="000000" w:themeColor="text1"/>
                <w:sz w:val="20"/>
              </w:rPr>
              <w:t>(Intercept)</w:t>
            </w:r>
          </w:p>
        </w:tc>
        <w:tc>
          <w:tcPr>
            <w:tcW w:w="0" w:type="auto"/>
            <w:tcBorders>
              <w:top w:val="single" w:sz="0" w:space="0" w:color="D3D3D3"/>
              <w:left w:val="single" w:sz="0" w:space="0" w:color="D3D3D3"/>
              <w:bottom w:val="single" w:sz="0" w:space="0" w:color="D3D3D3"/>
              <w:right w:val="single" w:sz="0" w:space="0" w:color="D3D3D3"/>
            </w:tcBorders>
          </w:tcPr>
          <w:p w14:paraId="0557D071"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2.162</w:t>
            </w:r>
          </w:p>
        </w:tc>
        <w:tc>
          <w:tcPr>
            <w:tcW w:w="0" w:type="auto"/>
            <w:tcBorders>
              <w:top w:val="single" w:sz="0" w:space="0" w:color="D3D3D3"/>
              <w:left w:val="single" w:sz="0" w:space="0" w:color="D3D3D3"/>
              <w:bottom w:val="single" w:sz="0" w:space="0" w:color="D3D3D3"/>
              <w:right w:val="single" w:sz="0" w:space="0" w:color="D3D3D3"/>
            </w:tcBorders>
          </w:tcPr>
          <w:p w14:paraId="0557D072"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0.077</w:t>
            </w:r>
          </w:p>
        </w:tc>
        <w:tc>
          <w:tcPr>
            <w:tcW w:w="0" w:type="auto"/>
            <w:tcBorders>
              <w:top w:val="single" w:sz="0" w:space="0" w:color="D3D3D3"/>
              <w:left w:val="single" w:sz="0" w:space="0" w:color="D3D3D3"/>
              <w:bottom w:val="single" w:sz="0" w:space="0" w:color="D3D3D3"/>
              <w:right w:val="single" w:sz="0" w:space="0" w:color="D3D3D3"/>
            </w:tcBorders>
          </w:tcPr>
          <w:p w14:paraId="0557D073"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28.10502</w:t>
            </w:r>
          </w:p>
        </w:tc>
        <w:tc>
          <w:tcPr>
            <w:tcW w:w="0" w:type="auto"/>
            <w:tcBorders>
              <w:top w:val="single" w:sz="0" w:space="0" w:color="D3D3D3"/>
              <w:left w:val="single" w:sz="0" w:space="0" w:color="D3D3D3"/>
              <w:bottom w:val="single" w:sz="0" w:space="0" w:color="D3D3D3"/>
              <w:right w:val="single" w:sz="0" w:space="0" w:color="D3D3D3"/>
            </w:tcBorders>
          </w:tcPr>
          <w:p w14:paraId="0557D074"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8.506316e-174</w:t>
            </w:r>
          </w:p>
        </w:tc>
      </w:tr>
      <w:tr w:rsidR="0076063B" w:rsidRPr="001E7AFE" w14:paraId="0557D077" w14:textId="77777777">
        <w:trPr>
          <w:cantSplit/>
          <w:jc w:val="center"/>
        </w:trPr>
        <w:tc>
          <w:tcPr>
            <w:tcW w:w="0" w:type="auto"/>
            <w:gridSpan w:val="5"/>
          </w:tcPr>
          <w:p w14:paraId="0557D076" w14:textId="77777777" w:rsidR="0076063B" w:rsidRPr="001E7AFE" w:rsidRDefault="004D5838">
            <w:pPr>
              <w:keepNext/>
              <w:spacing w:after="60"/>
              <w:rPr>
                <w:color w:val="000000" w:themeColor="text1"/>
              </w:rPr>
            </w:pPr>
            <w:r w:rsidRPr="001E7AFE">
              <w:rPr>
                <w:rFonts w:ascii="Calibri" w:hAnsi="Calibri"/>
                <w:color w:val="000000" w:themeColor="text1"/>
                <w:sz w:val="20"/>
              </w:rPr>
              <w:t>log-likelihood = -534.365223549115</w:t>
            </w:r>
          </w:p>
        </w:tc>
      </w:tr>
      <w:tr w:rsidR="0076063B" w:rsidRPr="001E7AFE" w14:paraId="0557D079" w14:textId="77777777">
        <w:trPr>
          <w:cantSplit/>
          <w:jc w:val="center"/>
        </w:trPr>
        <w:tc>
          <w:tcPr>
            <w:tcW w:w="0" w:type="auto"/>
            <w:gridSpan w:val="5"/>
          </w:tcPr>
          <w:p w14:paraId="0557D078" w14:textId="77777777" w:rsidR="0076063B" w:rsidRPr="001E7AFE" w:rsidRDefault="004D5838">
            <w:pPr>
              <w:keepNext/>
              <w:spacing w:after="60"/>
              <w:rPr>
                <w:color w:val="000000" w:themeColor="text1"/>
              </w:rPr>
            </w:pPr>
            <w:r w:rsidRPr="001E7AFE">
              <w:rPr>
                <w:rFonts w:ascii="Calibri" w:hAnsi="Calibri"/>
                <w:color w:val="000000" w:themeColor="text1"/>
                <w:sz w:val="20"/>
              </w:rPr>
              <w:t>AIC = 1070.73044709823</w:t>
            </w:r>
          </w:p>
        </w:tc>
      </w:tr>
      <w:tr w:rsidR="0076063B" w:rsidRPr="001E7AFE" w14:paraId="0557D07B" w14:textId="77777777">
        <w:trPr>
          <w:cantSplit/>
          <w:jc w:val="center"/>
        </w:trPr>
        <w:tc>
          <w:tcPr>
            <w:tcW w:w="0" w:type="auto"/>
            <w:gridSpan w:val="5"/>
          </w:tcPr>
          <w:p w14:paraId="0557D07A" w14:textId="77777777" w:rsidR="0076063B" w:rsidRPr="001E7AFE" w:rsidRDefault="004D5838">
            <w:pPr>
              <w:keepNext/>
              <w:spacing w:after="60"/>
              <w:rPr>
                <w:color w:val="000000" w:themeColor="text1"/>
              </w:rPr>
            </w:pPr>
            <w:r w:rsidRPr="001E7AFE">
              <w:rPr>
                <w:rFonts w:ascii="Calibri" w:hAnsi="Calibri"/>
                <w:color w:val="000000" w:themeColor="text1"/>
                <w:sz w:val="20"/>
              </w:rPr>
              <w:t>BIC = 1073.93993325107</w:t>
            </w:r>
          </w:p>
        </w:tc>
      </w:tr>
    </w:tbl>
    <w:tbl>
      <w:tblPr>
        <w:tblStyle w:val="Table"/>
        <w:tblW w:w="5000" w:type="pct"/>
        <w:tblLayout w:type="fixed"/>
        <w:tblLook w:val="0020" w:firstRow="1" w:lastRow="0" w:firstColumn="0" w:lastColumn="0" w:noHBand="0" w:noVBand="0"/>
      </w:tblPr>
      <w:tblGrid>
        <w:gridCol w:w="9360"/>
      </w:tblGrid>
      <w:tr w:rsidR="0076063B" w:rsidRPr="001E7AFE" w14:paraId="0557D07F" w14:textId="77777777" w:rsidTr="001E7AFE">
        <w:trPr>
          <w:cnfStyle w:val="100000000000" w:firstRow="1" w:lastRow="0" w:firstColumn="0" w:lastColumn="0" w:oddVBand="0" w:evenVBand="0" w:oddHBand="0" w:evenHBand="0" w:firstRowFirstColumn="0" w:firstRowLastColumn="0" w:lastRowFirstColumn="0" w:lastRowLastColumn="0"/>
        </w:trPr>
        <w:tc>
          <w:tcPr>
            <w:tcW w:w="7920" w:type="dxa"/>
          </w:tcPr>
          <w:p w14:paraId="0557D07E" w14:textId="77777777" w:rsidR="0076063B" w:rsidRPr="001E7AFE" w:rsidRDefault="004D5838">
            <w:pPr>
              <w:pStyle w:val="ImageCaption"/>
              <w:spacing w:before="200"/>
              <w:rPr>
                <w:color w:val="000000" w:themeColor="text1"/>
              </w:rPr>
            </w:pPr>
            <w:bookmarkStart w:id="19" w:name="tbl-km-exp-ch1"/>
            <w:r w:rsidRPr="001E7AFE">
              <w:rPr>
                <w:color w:val="000000" w:themeColor="text1"/>
              </w:rPr>
              <w:t>Table 2: Survival model fit summary (exponential distribution)</w:t>
            </w:r>
          </w:p>
        </w:tc>
        <w:bookmarkEnd w:id="19"/>
      </w:tr>
    </w:tbl>
    <w:p w14:paraId="0557D080" w14:textId="77777777" w:rsidR="0076063B" w:rsidRPr="001E7AFE" w:rsidRDefault="004D5838">
      <w:pPr>
        <w:rPr>
          <w:color w:val="000000" w:themeColor="text1"/>
        </w:rPr>
      </w:pPr>
      <w:r w:rsidRPr="001E7AFE">
        <w:rPr>
          <w:color w:val="000000" w:themeColor="text1"/>
        </w:rPr>
        <w:br w:type="page"/>
      </w:r>
    </w:p>
    <w:p w14:paraId="0557D081" w14:textId="77777777" w:rsidR="0076063B" w:rsidRPr="001E7AFE" w:rsidRDefault="004D5838">
      <w:pPr>
        <w:pStyle w:val="Heading4"/>
        <w:rPr>
          <w:color w:val="000000" w:themeColor="text1"/>
        </w:rPr>
      </w:pPr>
      <w:bookmarkStart w:id="20" w:name="weibull"/>
      <w:bookmarkEnd w:id="17"/>
      <w:r w:rsidRPr="001E7AFE">
        <w:rPr>
          <w:color w:val="000000" w:themeColor="text1"/>
        </w:rPr>
        <w:lastRenderedPageBreak/>
        <w:t>Weibull</w:t>
      </w:r>
    </w:p>
    <w:tbl>
      <w:tblPr>
        <w:tblStyle w:val="Table"/>
        <w:tblW w:w="5000" w:type="pct"/>
        <w:tblLayout w:type="fixed"/>
        <w:tblLook w:val="0020" w:firstRow="1" w:lastRow="0" w:firstColumn="0" w:lastColumn="0" w:noHBand="0" w:noVBand="0"/>
      </w:tblPr>
      <w:tblGrid>
        <w:gridCol w:w="9360"/>
      </w:tblGrid>
      <w:tr w:rsidR="0076063B" w:rsidRPr="001E7AFE" w14:paraId="0557D084" w14:textId="77777777" w:rsidTr="001E7AFE">
        <w:trPr>
          <w:cnfStyle w:val="100000000000" w:firstRow="1" w:lastRow="0" w:firstColumn="0" w:lastColumn="0" w:oddVBand="0" w:evenVBand="0" w:oddHBand="0" w:evenHBand="0" w:firstRowFirstColumn="0" w:firstRowLastColumn="0" w:lastRowFirstColumn="0" w:lastRowLastColumn="0"/>
        </w:trPr>
        <w:tc>
          <w:tcPr>
            <w:tcW w:w="7920" w:type="dxa"/>
          </w:tcPr>
          <w:p w14:paraId="0557D082" w14:textId="77777777" w:rsidR="0076063B" w:rsidRPr="001E7AFE" w:rsidRDefault="004D5838">
            <w:pPr>
              <w:pStyle w:val="Compact"/>
              <w:jc w:val="center"/>
              <w:rPr>
                <w:color w:val="000000" w:themeColor="text1"/>
              </w:rPr>
            </w:pPr>
            <w:bookmarkStart w:id="21" w:name="fig-km-weibull-ch1"/>
            <w:r w:rsidRPr="001E7AFE">
              <w:rPr>
                <w:noProof/>
                <w:color w:val="000000" w:themeColor="text1"/>
              </w:rPr>
              <w:drawing>
                <wp:inline distT="0" distB="0" distL="0" distR="0" wp14:anchorId="0557D193" wp14:editId="0557D194">
                  <wp:extent cx="5943600" cy="3657600"/>
                  <wp:effectExtent l="0" t="0" r="0" b="0"/>
                  <wp:docPr id="53" name="Picture" title="A Kaplan-Meier plot showing overall survival over time for individuals who have received second line treatment after trastuzumab, with an overlaid Weibull model fit."/>
                  <wp:cNvGraphicFramePr/>
                  <a:graphic xmlns:a="http://schemas.openxmlformats.org/drawingml/2006/main">
                    <a:graphicData uri="http://schemas.openxmlformats.org/drawingml/2006/picture">
                      <pic:pic xmlns:pic="http://schemas.openxmlformats.org/drawingml/2006/picture">
                        <pic:nvPicPr>
                          <pic:cNvPr id="54" name="Picture" descr="ID6680_trastuzumab_deruxtecan_gastric_files/figure-docx/fig-km-weibull-ch1-1.png"/>
                          <pic:cNvPicPr>
                            <a:picLocks noChangeAspect="1" noChangeArrowheads="1"/>
                          </pic:cNvPicPr>
                        </pic:nvPicPr>
                        <pic:blipFill>
                          <a:blip r:embed="rId18"/>
                          <a:stretch>
                            <a:fillRect/>
                          </a:stretch>
                        </pic:blipFill>
                        <pic:spPr bwMode="auto">
                          <a:xfrm>
                            <a:off x="0" y="0"/>
                            <a:ext cx="5943600" cy="3657600"/>
                          </a:xfrm>
                          <a:prstGeom prst="rect">
                            <a:avLst/>
                          </a:prstGeom>
                          <a:noFill/>
                          <a:ln w="9525">
                            <a:noFill/>
                            <a:headEnd/>
                            <a:tailEnd/>
                          </a:ln>
                        </pic:spPr>
                      </pic:pic>
                    </a:graphicData>
                  </a:graphic>
                </wp:inline>
              </w:drawing>
            </w:r>
          </w:p>
          <w:p w14:paraId="0557D083" w14:textId="77777777" w:rsidR="0076063B" w:rsidRPr="001E7AFE" w:rsidRDefault="004D5838">
            <w:pPr>
              <w:pStyle w:val="ImageCaption"/>
              <w:spacing w:before="200"/>
              <w:rPr>
                <w:color w:val="000000" w:themeColor="text1"/>
              </w:rPr>
            </w:pPr>
            <w:r w:rsidRPr="001E7AFE">
              <w:rPr>
                <w:color w:val="000000" w:themeColor="text1"/>
              </w:rPr>
              <w:t>Figure 4: Overall survival against Weibull survival function</w:t>
            </w:r>
          </w:p>
        </w:tc>
        <w:bookmarkEnd w:id="21"/>
      </w:tr>
    </w:tbl>
    <w:p w14:paraId="0557D085" w14:textId="77777777" w:rsidR="0076063B" w:rsidRPr="001E7AFE" w:rsidRDefault="0076063B">
      <w:pPr>
        <w:pStyle w:val="BodyText"/>
        <w:rPr>
          <w:color w:val="000000" w:themeColor="text1"/>
        </w:rPr>
      </w:pPr>
    </w:p>
    <w:tbl>
      <w:tblPr>
        <w:tblW w:w="0" w:type="auto"/>
        <w:jc w:val="center"/>
        <w:tblCellMar>
          <w:left w:w="60" w:type="dxa"/>
          <w:right w:w="60" w:type="dxa"/>
        </w:tblCellMar>
        <w:tblLook w:val="0000" w:firstRow="0" w:lastRow="0" w:firstColumn="0" w:lastColumn="0" w:noHBand="0" w:noVBand="0"/>
      </w:tblPr>
      <w:tblGrid>
        <w:gridCol w:w="990"/>
        <w:gridCol w:w="831"/>
        <w:gridCol w:w="892"/>
        <w:gridCol w:w="982"/>
        <w:gridCol w:w="1345"/>
      </w:tblGrid>
      <w:tr w:rsidR="0076063B" w:rsidRPr="001E7AFE" w14:paraId="0557D08B" w14:textId="77777777">
        <w:trPr>
          <w:cantSplit/>
          <w:tblHeader/>
          <w:jc w:val="center"/>
        </w:trPr>
        <w:tc>
          <w:tcPr>
            <w:tcW w:w="0" w:type="auto"/>
            <w:tcBorders>
              <w:top w:val="single" w:sz="16" w:space="0" w:color="D3D3D3"/>
              <w:left w:val="single" w:sz="0" w:space="0" w:color="D3D3D3"/>
              <w:bottom w:val="single" w:sz="16" w:space="0" w:color="D3D3D3"/>
            </w:tcBorders>
          </w:tcPr>
          <w:p w14:paraId="0557D086" w14:textId="77777777" w:rsidR="0076063B" w:rsidRPr="001E7AFE" w:rsidRDefault="004D5838">
            <w:pPr>
              <w:keepNext/>
              <w:spacing w:after="60"/>
              <w:rPr>
                <w:color w:val="000000" w:themeColor="text1"/>
              </w:rPr>
            </w:pPr>
            <w:r w:rsidRPr="001E7AFE">
              <w:rPr>
                <w:rFonts w:ascii="Calibri" w:hAnsi="Calibri"/>
                <w:color w:val="000000" w:themeColor="text1"/>
                <w:sz w:val="20"/>
              </w:rPr>
              <w:t>Parameter</w:t>
            </w:r>
          </w:p>
        </w:tc>
        <w:tc>
          <w:tcPr>
            <w:tcW w:w="0" w:type="auto"/>
            <w:tcBorders>
              <w:top w:val="single" w:sz="16" w:space="0" w:color="D3D3D3"/>
              <w:bottom w:val="single" w:sz="16" w:space="0" w:color="D3D3D3"/>
            </w:tcBorders>
          </w:tcPr>
          <w:p w14:paraId="0557D087"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Estimate</w:t>
            </w:r>
          </w:p>
        </w:tc>
        <w:tc>
          <w:tcPr>
            <w:tcW w:w="0" w:type="auto"/>
            <w:tcBorders>
              <w:top w:val="single" w:sz="16" w:space="0" w:color="D3D3D3"/>
              <w:bottom w:val="single" w:sz="16" w:space="0" w:color="D3D3D3"/>
            </w:tcBorders>
          </w:tcPr>
          <w:p w14:paraId="0557D088"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Std. Error</w:t>
            </w:r>
          </w:p>
        </w:tc>
        <w:tc>
          <w:tcPr>
            <w:tcW w:w="0" w:type="auto"/>
            <w:tcBorders>
              <w:top w:val="single" w:sz="16" w:space="0" w:color="D3D3D3"/>
              <w:bottom w:val="single" w:sz="16" w:space="0" w:color="D3D3D3"/>
            </w:tcBorders>
          </w:tcPr>
          <w:p w14:paraId="0557D089"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z</w:t>
            </w:r>
          </w:p>
        </w:tc>
        <w:tc>
          <w:tcPr>
            <w:tcW w:w="0" w:type="auto"/>
            <w:tcBorders>
              <w:top w:val="single" w:sz="16" w:space="0" w:color="D3D3D3"/>
              <w:bottom w:val="single" w:sz="16" w:space="0" w:color="D3D3D3"/>
              <w:right w:val="single" w:sz="0" w:space="0" w:color="D3D3D3"/>
            </w:tcBorders>
          </w:tcPr>
          <w:p w14:paraId="0557D08A"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p-value</w:t>
            </w:r>
          </w:p>
        </w:tc>
      </w:tr>
      <w:tr w:rsidR="0076063B" w:rsidRPr="001E7AFE" w14:paraId="0557D091"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08C" w14:textId="77777777" w:rsidR="0076063B" w:rsidRPr="001E7AFE" w:rsidRDefault="004D5838">
            <w:pPr>
              <w:keepNext/>
              <w:spacing w:after="60"/>
              <w:rPr>
                <w:color w:val="000000" w:themeColor="text1"/>
              </w:rPr>
            </w:pPr>
            <w:r w:rsidRPr="001E7AFE">
              <w:rPr>
                <w:rFonts w:ascii="Calibri" w:hAnsi="Calibri"/>
                <w:color w:val="000000" w:themeColor="text1"/>
                <w:sz w:val="20"/>
              </w:rPr>
              <w:t>(Intercept)</w:t>
            </w:r>
          </w:p>
        </w:tc>
        <w:tc>
          <w:tcPr>
            <w:tcW w:w="0" w:type="auto"/>
            <w:tcBorders>
              <w:top w:val="single" w:sz="0" w:space="0" w:color="D3D3D3"/>
              <w:left w:val="single" w:sz="0" w:space="0" w:color="D3D3D3"/>
              <w:bottom w:val="single" w:sz="0" w:space="0" w:color="D3D3D3"/>
              <w:right w:val="single" w:sz="0" w:space="0" w:color="D3D3D3"/>
            </w:tcBorders>
          </w:tcPr>
          <w:p w14:paraId="0557D08D"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2.200</w:t>
            </w:r>
          </w:p>
        </w:tc>
        <w:tc>
          <w:tcPr>
            <w:tcW w:w="0" w:type="auto"/>
            <w:tcBorders>
              <w:top w:val="single" w:sz="0" w:space="0" w:color="D3D3D3"/>
              <w:left w:val="single" w:sz="0" w:space="0" w:color="D3D3D3"/>
              <w:bottom w:val="single" w:sz="0" w:space="0" w:color="D3D3D3"/>
              <w:right w:val="single" w:sz="0" w:space="0" w:color="D3D3D3"/>
            </w:tcBorders>
          </w:tcPr>
          <w:p w14:paraId="0557D08E"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0.069</w:t>
            </w:r>
          </w:p>
        </w:tc>
        <w:tc>
          <w:tcPr>
            <w:tcW w:w="0" w:type="auto"/>
            <w:tcBorders>
              <w:top w:val="single" w:sz="0" w:space="0" w:color="D3D3D3"/>
              <w:left w:val="single" w:sz="0" w:space="0" w:color="D3D3D3"/>
              <w:bottom w:val="single" w:sz="0" w:space="0" w:color="D3D3D3"/>
              <w:right w:val="single" w:sz="0" w:space="0" w:color="D3D3D3"/>
            </w:tcBorders>
          </w:tcPr>
          <w:p w14:paraId="0557D08F"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31.718442</w:t>
            </w:r>
          </w:p>
        </w:tc>
        <w:tc>
          <w:tcPr>
            <w:tcW w:w="0" w:type="auto"/>
            <w:tcBorders>
              <w:top w:val="single" w:sz="0" w:space="0" w:color="D3D3D3"/>
              <w:left w:val="single" w:sz="0" w:space="0" w:color="D3D3D3"/>
              <w:bottom w:val="single" w:sz="0" w:space="0" w:color="D3D3D3"/>
              <w:right w:val="single" w:sz="0" w:space="0" w:color="D3D3D3"/>
            </w:tcBorders>
          </w:tcPr>
          <w:p w14:paraId="0557D090"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8.652454e-221</w:t>
            </w:r>
          </w:p>
        </w:tc>
      </w:tr>
      <w:tr w:rsidR="0076063B" w:rsidRPr="001E7AFE" w14:paraId="0557D097"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092" w14:textId="77777777" w:rsidR="0076063B" w:rsidRPr="001E7AFE" w:rsidRDefault="004D5838">
            <w:pPr>
              <w:keepNext/>
              <w:spacing w:after="60"/>
              <w:rPr>
                <w:color w:val="000000" w:themeColor="text1"/>
              </w:rPr>
            </w:pPr>
            <w:r w:rsidRPr="001E7AFE">
              <w:rPr>
                <w:rFonts w:ascii="Calibri" w:hAnsi="Calibri"/>
                <w:color w:val="000000" w:themeColor="text1"/>
                <w:sz w:val="20"/>
              </w:rPr>
              <w:t>Log(scale)</w:t>
            </w:r>
          </w:p>
        </w:tc>
        <w:tc>
          <w:tcPr>
            <w:tcW w:w="0" w:type="auto"/>
            <w:tcBorders>
              <w:top w:val="single" w:sz="0" w:space="0" w:color="D3D3D3"/>
              <w:left w:val="single" w:sz="0" w:space="0" w:color="D3D3D3"/>
              <w:bottom w:val="single" w:sz="0" w:space="0" w:color="D3D3D3"/>
              <w:right w:val="single" w:sz="0" w:space="0" w:color="D3D3D3"/>
            </w:tcBorders>
          </w:tcPr>
          <w:p w14:paraId="0557D093"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-0.136</w:t>
            </w:r>
          </w:p>
        </w:tc>
        <w:tc>
          <w:tcPr>
            <w:tcW w:w="0" w:type="auto"/>
            <w:tcBorders>
              <w:top w:val="single" w:sz="0" w:space="0" w:color="D3D3D3"/>
              <w:left w:val="single" w:sz="0" w:space="0" w:color="D3D3D3"/>
              <w:bottom w:val="single" w:sz="0" w:space="0" w:color="D3D3D3"/>
              <w:right w:val="single" w:sz="0" w:space="0" w:color="D3D3D3"/>
            </w:tcBorders>
          </w:tcPr>
          <w:p w14:paraId="0557D094"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0.058</w:t>
            </w:r>
          </w:p>
        </w:tc>
        <w:tc>
          <w:tcPr>
            <w:tcW w:w="0" w:type="auto"/>
            <w:tcBorders>
              <w:top w:val="single" w:sz="0" w:space="0" w:color="D3D3D3"/>
              <w:left w:val="single" w:sz="0" w:space="0" w:color="D3D3D3"/>
              <w:bottom w:val="single" w:sz="0" w:space="0" w:color="D3D3D3"/>
              <w:right w:val="single" w:sz="0" w:space="0" w:color="D3D3D3"/>
            </w:tcBorders>
          </w:tcPr>
          <w:p w14:paraId="0557D095"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-2.354503</w:t>
            </w:r>
          </w:p>
        </w:tc>
        <w:tc>
          <w:tcPr>
            <w:tcW w:w="0" w:type="auto"/>
            <w:tcBorders>
              <w:top w:val="single" w:sz="0" w:space="0" w:color="D3D3D3"/>
              <w:left w:val="single" w:sz="0" w:space="0" w:color="D3D3D3"/>
              <w:bottom w:val="single" w:sz="0" w:space="0" w:color="D3D3D3"/>
              <w:right w:val="single" w:sz="0" w:space="0" w:color="D3D3D3"/>
            </w:tcBorders>
          </w:tcPr>
          <w:p w14:paraId="0557D096"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1.854748e-02</w:t>
            </w:r>
          </w:p>
        </w:tc>
      </w:tr>
      <w:tr w:rsidR="0076063B" w:rsidRPr="001E7AFE" w14:paraId="0557D099" w14:textId="77777777">
        <w:trPr>
          <w:cantSplit/>
          <w:jc w:val="center"/>
        </w:trPr>
        <w:tc>
          <w:tcPr>
            <w:tcW w:w="0" w:type="auto"/>
            <w:gridSpan w:val="5"/>
          </w:tcPr>
          <w:p w14:paraId="0557D098" w14:textId="77777777" w:rsidR="0076063B" w:rsidRPr="001E7AFE" w:rsidRDefault="004D5838">
            <w:pPr>
              <w:keepNext/>
              <w:spacing w:after="60"/>
              <w:rPr>
                <w:color w:val="000000" w:themeColor="text1"/>
              </w:rPr>
            </w:pPr>
            <w:r w:rsidRPr="001E7AFE">
              <w:rPr>
                <w:rFonts w:ascii="Calibri" w:hAnsi="Calibri"/>
                <w:color w:val="000000" w:themeColor="text1"/>
                <w:sz w:val="20"/>
              </w:rPr>
              <w:t>log-likelihood = -531.801385087805</w:t>
            </w:r>
          </w:p>
        </w:tc>
      </w:tr>
      <w:tr w:rsidR="0076063B" w:rsidRPr="001E7AFE" w14:paraId="0557D09B" w14:textId="77777777">
        <w:trPr>
          <w:cantSplit/>
          <w:jc w:val="center"/>
        </w:trPr>
        <w:tc>
          <w:tcPr>
            <w:tcW w:w="0" w:type="auto"/>
            <w:gridSpan w:val="5"/>
          </w:tcPr>
          <w:p w14:paraId="0557D09A" w14:textId="77777777" w:rsidR="0076063B" w:rsidRPr="001E7AFE" w:rsidRDefault="004D5838">
            <w:pPr>
              <w:keepNext/>
              <w:spacing w:after="60"/>
              <w:rPr>
                <w:color w:val="000000" w:themeColor="text1"/>
              </w:rPr>
            </w:pPr>
            <w:r w:rsidRPr="001E7AFE">
              <w:rPr>
                <w:rFonts w:ascii="Calibri" w:hAnsi="Calibri"/>
                <w:color w:val="000000" w:themeColor="text1"/>
                <w:sz w:val="20"/>
              </w:rPr>
              <w:t>AIC = 1067.60277017561</w:t>
            </w:r>
          </w:p>
        </w:tc>
      </w:tr>
      <w:tr w:rsidR="0076063B" w:rsidRPr="001E7AFE" w14:paraId="0557D09D" w14:textId="77777777">
        <w:trPr>
          <w:cantSplit/>
          <w:jc w:val="center"/>
        </w:trPr>
        <w:tc>
          <w:tcPr>
            <w:tcW w:w="0" w:type="auto"/>
            <w:gridSpan w:val="5"/>
          </w:tcPr>
          <w:p w14:paraId="0557D09C" w14:textId="77777777" w:rsidR="0076063B" w:rsidRPr="001E7AFE" w:rsidRDefault="004D5838">
            <w:pPr>
              <w:keepNext/>
              <w:spacing w:after="60"/>
              <w:rPr>
                <w:color w:val="000000" w:themeColor="text1"/>
              </w:rPr>
            </w:pPr>
            <w:r w:rsidRPr="001E7AFE">
              <w:rPr>
                <w:rFonts w:ascii="Calibri" w:hAnsi="Calibri"/>
                <w:color w:val="000000" w:themeColor="text1"/>
                <w:sz w:val="20"/>
              </w:rPr>
              <w:t>BIC = 1074.02174248129</w:t>
            </w:r>
          </w:p>
        </w:tc>
      </w:tr>
    </w:tbl>
    <w:tbl>
      <w:tblPr>
        <w:tblStyle w:val="Table"/>
        <w:tblW w:w="5000" w:type="pct"/>
        <w:tblLayout w:type="fixed"/>
        <w:tblLook w:val="0020" w:firstRow="1" w:lastRow="0" w:firstColumn="0" w:lastColumn="0" w:noHBand="0" w:noVBand="0"/>
      </w:tblPr>
      <w:tblGrid>
        <w:gridCol w:w="9360"/>
      </w:tblGrid>
      <w:tr w:rsidR="0076063B" w:rsidRPr="001E7AFE" w14:paraId="0557D0A1" w14:textId="77777777" w:rsidTr="001E7AFE">
        <w:trPr>
          <w:cnfStyle w:val="100000000000" w:firstRow="1" w:lastRow="0" w:firstColumn="0" w:lastColumn="0" w:oddVBand="0" w:evenVBand="0" w:oddHBand="0" w:evenHBand="0" w:firstRowFirstColumn="0" w:firstRowLastColumn="0" w:lastRowFirstColumn="0" w:lastRowLastColumn="0"/>
        </w:trPr>
        <w:tc>
          <w:tcPr>
            <w:tcW w:w="7920" w:type="dxa"/>
          </w:tcPr>
          <w:p w14:paraId="0557D0A0" w14:textId="77777777" w:rsidR="0076063B" w:rsidRPr="001E7AFE" w:rsidRDefault="004D5838">
            <w:pPr>
              <w:pStyle w:val="ImageCaption"/>
              <w:spacing w:before="200"/>
              <w:rPr>
                <w:color w:val="000000" w:themeColor="text1"/>
              </w:rPr>
            </w:pPr>
            <w:bookmarkStart w:id="22" w:name="tbl-km-weibull-ch1"/>
            <w:r w:rsidRPr="001E7AFE">
              <w:rPr>
                <w:color w:val="000000" w:themeColor="text1"/>
              </w:rPr>
              <w:t>Table 3: Survival model fit summary (Weibull distribution)</w:t>
            </w:r>
          </w:p>
        </w:tc>
        <w:bookmarkEnd w:id="22"/>
      </w:tr>
    </w:tbl>
    <w:p w14:paraId="0557D0A2" w14:textId="77777777" w:rsidR="0076063B" w:rsidRPr="001E7AFE" w:rsidRDefault="004D5838">
      <w:pPr>
        <w:rPr>
          <w:color w:val="000000" w:themeColor="text1"/>
        </w:rPr>
      </w:pPr>
      <w:r w:rsidRPr="001E7AFE">
        <w:rPr>
          <w:color w:val="000000" w:themeColor="text1"/>
        </w:rPr>
        <w:br w:type="page"/>
      </w:r>
    </w:p>
    <w:p w14:paraId="0557D0A3" w14:textId="77777777" w:rsidR="0076063B" w:rsidRPr="001E7AFE" w:rsidRDefault="004D5838">
      <w:pPr>
        <w:pStyle w:val="Heading4"/>
        <w:rPr>
          <w:color w:val="000000" w:themeColor="text1"/>
        </w:rPr>
      </w:pPr>
      <w:bookmarkStart w:id="23" w:name="log-normal"/>
      <w:bookmarkEnd w:id="20"/>
      <w:r w:rsidRPr="001E7AFE">
        <w:rPr>
          <w:color w:val="000000" w:themeColor="text1"/>
        </w:rPr>
        <w:lastRenderedPageBreak/>
        <w:t>Log-normal</w:t>
      </w:r>
    </w:p>
    <w:tbl>
      <w:tblPr>
        <w:tblStyle w:val="Table"/>
        <w:tblW w:w="5000" w:type="pct"/>
        <w:tblLayout w:type="fixed"/>
        <w:tblLook w:val="0020" w:firstRow="1" w:lastRow="0" w:firstColumn="0" w:lastColumn="0" w:noHBand="0" w:noVBand="0"/>
      </w:tblPr>
      <w:tblGrid>
        <w:gridCol w:w="9360"/>
      </w:tblGrid>
      <w:tr w:rsidR="0076063B" w:rsidRPr="001E7AFE" w14:paraId="0557D0A6" w14:textId="77777777" w:rsidTr="001E7AFE">
        <w:trPr>
          <w:cnfStyle w:val="100000000000" w:firstRow="1" w:lastRow="0" w:firstColumn="0" w:lastColumn="0" w:oddVBand="0" w:evenVBand="0" w:oddHBand="0" w:evenHBand="0" w:firstRowFirstColumn="0" w:firstRowLastColumn="0" w:lastRowFirstColumn="0" w:lastRowLastColumn="0"/>
        </w:trPr>
        <w:tc>
          <w:tcPr>
            <w:tcW w:w="7920" w:type="dxa"/>
          </w:tcPr>
          <w:p w14:paraId="0557D0A4" w14:textId="77777777" w:rsidR="0076063B" w:rsidRPr="001E7AFE" w:rsidRDefault="004D5838">
            <w:pPr>
              <w:pStyle w:val="Compact"/>
              <w:jc w:val="center"/>
              <w:rPr>
                <w:color w:val="000000" w:themeColor="text1"/>
              </w:rPr>
            </w:pPr>
            <w:bookmarkStart w:id="24" w:name="fig-km-log_normal-ch1"/>
            <w:r w:rsidRPr="001E7AFE">
              <w:rPr>
                <w:noProof/>
                <w:color w:val="000000" w:themeColor="text1"/>
              </w:rPr>
              <w:drawing>
                <wp:inline distT="0" distB="0" distL="0" distR="0" wp14:anchorId="0557D195" wp14:editId="0557D196">
                  <wp:extent cx="5943600" cy="3657600"/>
                  <wp:effectExtent l="0" t="0" r="0" b="0"/>
                  <wp:docPr id="59" name="Picture" title="A Kaplan-Meier plot showing overall survival over time for individuals who have received second line treatment after trastuzumab, with an overlaid log-normal model fit."/>
                  <wp:cNvGraphicFramePr/>
                  <a:graphic xmlns:a="http://schemas.openxmlformats.org/drawingml/2006/main">
                    <a:graphicData uri="http://schemas.openxmlformats.org/drawingml/2006/picture">
                      <pic:pic xmlns:pic="http://schemas.openxmlformats.org/drawingml/2006/picture">
                        <pic:nvPicPr>
                          <pic:cNvPr id="60" name="Picture" descr="ID6680_trastuzumab_deruxtecan_gastric_files/figure-docx/fig-km-log_normal-ch1-1.png"/>
                          <pic:cNvPicPr>
                            <a:picLocks noChangeAspect="1" noChangeArrowheads="1"/>
                          </pic:cNvPicPr>
                        </pic:nvPicPr>
                        <pic:blipFill>
                          <a:blip r:embed="rId19"/>
                          <a:stretch>
                            <a:fillRect/>
                          </a:stretch>
                        </pic:blipFill>
                        <pic:spPr bwMode="auto">
                          <a:xfrm>
                            <a:off x="0" y="0"/>
                            <a:ext cx="5943600" cy="3657600"/>
                          </a:xfrm>
                          <a:prstGeom prst="rect">
                            <a:avLst/>
                          </a:prstGeom>
                          <a:noFill/>
                          <a:ln w="9525">
                            <a:noFill/>
                            <a:headEnd/>
                            <a:tailEnd/>
                          </a:ln>
                        </pic:spPr>
                      </pic:pic>
                    </a:graphicData>
                  </a:graphic>
                </wp:inline>
              </w:drawing>
            </w:r>
          </w:p>
          <w:p w14:paraId="0557D0A5" w14:textId="77777777" w:rsidR="0076063B" w:rsidRPr="001E7AFE" w:rsidRDefault="004D5838">
            <w:pPr>
              <w:pStyle w:val="ImageCaption"/>
              <w:spacing w:before="200"/>
              <w:rPr>
                <w:color w:val="000000" w:themeColor="text1"/>
              </w:rPr>
            </w:pPr>
            <w:r w:rsidRPr="001E7AFE">
              <w:rPr>
                <w:color w:val="000000" w:themeColor="text1"/>
              </w:rPr>
              <w:t>Figure 5: Overall survival against log-normal survival function</w:t>
            </w:r>
          </w:p>
        </w:tc>
        <w:bookmarkEnd w:id="24"/>
      </w:tr>
    </w:tbl>
    <w:p w14:paraId="0557D0A7" w14:textId="77777777" w:rsidR="0076063B" w:rsidRPr="001E7AFE" w:rsidRDefault="0076063B">
      <w:pPr>
        <w:pStyle w:val="BodyText"/>
        <w:rPr>
          <w:color w:val="000000" w:themeColor="text1"/>
        </w:rPr>
      </w:pPr>
    </w:p>
    <w:tbl>
      <w:tblPr>
        <w:tblW w:w="0" w:type="auto"/>
        <w:jc w:val="center"/>
        <w:tblCellMar>
          <w:left w:w="60" w:type="dxa"/>
          <w:right w:w="60" w:type="dxa"/>
        </w:tblCellMar>
        <w:tblLook w:val="0000" w:firstRow="0" w:lastRow="0" w:firstColumn="0" w:lastColumn="0" w:noHBand="0" w:noVBand="0"/>
      </w:tblPr>
      <w:tblGrid>
        <w:gridCol w:w="990"/>
        <w:gridCol w:w="831"/>
        <w:gridCol w:w="892"/>
        <w:gridCol w:w="1083"/>
        <w:gridCol w:w="1345"/>
      </w:tblGrid>
      <w:tr w:rsidR="0076063B" w:rsidRPr="001E7AFE" w14:paraId="0557D0AD" w14:textId="77777777">
        <w:trPr>
          <w:cantSplit/>
          <w:tblHeader/>
          <w:jc w:val="center"/>
        </w:trPr>
        <w:tc>
          <w:tcPr>
            <w:tcW w:w="0" w:type="auto"/>
            <w:tcBorders>
              <w:top w:val="single" w:sz="16" w:space="0" w:color="D3D3D3"/>
              <w:left w:val="single" w:sz="0" w:space="0" w:color="D3D3D3"/>
              <w:bottom w:val="single" w:sz="16" w:space="0" w:color="D3D3D3"/>
            </w:tcBorders>
          </w:tcPr>
          <w:p w14:paraId="0557D0A8" w14:textId="77777777" w:rsidR="0076063B" w:rsidRPr="001E7AFE" w:rsidRDefault="004D5838">
            <w:pPr>
              <w:keepNext/>
              <w:spacing w:after="60"/>
              <w:rPr>
                <w:color w:val="000000" w:themeColor="text1"/>
              </w:rPr>
            </w:pPr>
            <w:r w:rsidRPr="001E7AFE">
              <w:rPr>
                <w:rFonts w:ascii="Calibri" w:hAnsi="Calibri"/>
                <w:color w:val="000000" w:themeColor="text1"/>
                <w:sz w:val="20"/>
              </w:rPr>
              <w:t>Parameter</w:t>
            </w:r>
          </w:p>
        </w:tc>
        <w:tc>
          <w:tcPr>
            <w:tcW w:w="0" w:type="auto"/>
            <w:tcBorders>
              <w:top w:val="single" w:sz="16" w:space="0" w:color="D3D3D3"/>
              <w:bottom w:val="single" w:sz="16" w:space="0" w:color="D3D3D3"/>
            </w:tcBorders>
          </w:tcPr>
          <w:p w14:paraId="0557D0A9"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Estimate</w:t>
            </w:r>
          </w:p>
        </w:tc>
        <w:tc>
          <w:tcPr>
            <w:tcW w:w="0" w:type="auto"/>
            <w:tcBorders>
              <w:top w:val="single" w:sz="16" w:space="0" w:color="D3D3D3"/>
              <w:bottom w:val="single" w:sz="16" w:space="0" w:color="D3D3D3"/>
            </w:tcBorders>
          </w:tcPr>
          <w:p w14:paraId="0557D0AA"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Std. Error</w:t>
            </w:r>
          </w:p>
        </w:tc>
        <w:tc>
          <w:tcPr>
            <w:tcW w:w="0" w:type="auto"/>
            <w:tcBorders>
              <w:top w:val="single" w:sz="16" w:space="0" w:color="D3D3D3"/>
              <w:bottom w:val="single" w:sz="16" w:space="0" w:color="D3D3D3"/>
            </w:tcBorders>
          </w:tcPr>
          <w:p w14:paraId="0557D0AB"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z</w:t>
            </w:r>
          </w:p>
        </w:tc>
        <w:tc>
          <w:tcPr>
            <w:tcW w:w="0" w:type="auto"/>
            <w:tcBorders>
              <w:top w:val="single" w:sz="16" w:space="0" w:color="D3D3D3"/>
              <w:bottom w:val="single" w:sz="16" w:space="0" w:color="D3D3D3"/>
              <w:right w:val="single" w:sz="0" w:space="0" w:color="D3D3D3"/>
            </w:tcBorders>
          </w:tcPr>
          <w:p w14:paraId="0557D0AC"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p-value</w:t>
            </w:r>
          </w:p>
        </w:tc>
      </w:tr>
      <w:tr w:rsidR="0076063B" w:rsidRPr="001E7AFE" w14:paraId="0557D0B3"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0AE" w14:textId="77777777" w:rsidR="0076063B" w:rsidRPr="001E7AFE" w:rsidRDefault="004D5838">
            <w:pPr>
              <w:keepNext/>
              <w:spacing w:after="60"/>
              <w:rPr>
                <w:color w:val="000000" w:themeColor="text1"/>
              </w:rPr>
            </w:pPr>
            <w:r w:rsidRPr="001E7AFE">
              <w:rPr>
                <w:rFonts w:ascii="Calibri" w:hAnsi="Calibri"/>
                <w:color w:val="000000" w:themeColor="text1"/>
                <w:sz w:val="20"/>
              </w:rPr>
              <w:t>(Intercept)</w:t>
            </w:r>
          </w:p>
        </w:tc>
        <w:tc>
          <w:tcPr>
            <w:tcW w:w="0" w:type="auto"/>
            <w:tcBorders>
              <w:top w:val="single" w:sz="0" w:space="0" w:color="D3D3D3"/>
              <w:left w:val="single" w:sz="0" w:space="0" w:color="D3D3D3"/>
              <w:bottom w:val="single" w:sz="0" w:space="0" w:color="D3D3D3"/>
              <w:right w:val="single" w:sz="0" w:space="0" w:color="D3D3D3"/>
            </w:tcBorders>
          </w:tcPr>
          <w:p w14:paraId="0557D0AF"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1.757</w:t>
            </w:r>
          </w:p>
        </w:tc>
        <w:tc>
          <w:tcPr>
            <w:tcW w:w="0" w:type="auto"/>
            <w:tcBorders>
              <w:top w:val="single" w:sz="0" w:space="0" w:color="D3D3D3"/>
              <w:left w:val="single" w:sz="0" w:space="0" w:color="D3D3D3"/>
              <w:bottom w:val="single" w:sz="0" w:space="0" w:color="D3D3D3"/>
              <w:right w:val="single" w:sz="0" w:space="0" w:color="D3D3D3"/>
            </w:tcBorders>
          </w:tcPr>
          <w:p w14:paraId="0557D0B0"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0.071</w:t>
            </w:r>
          </w:p>
        </w:tc>
        <w:tc>
          <w:tcPr>
            <w:tcW w:w="0" w:type="auto"/>
            <w:tcBorders>
              <w:top w:val="single" w:sz="0" w:space="0" w:color="D3D3D3"/>
              <w:left w:val="single" w:sz="0" w:space="0" w:color="D3D3D3"/>
              <w:bottom w:val="single" w:sz="0" w:space="0" w:color="D3D3D3"/>
              <w:right w:val="single" w:sz="0" w:space="0" w:color="D3D3D3"/>
            </w:tcBorders>
          </w:tcPr>
          <w:p w14:paraId="0557D0B1"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24.8993332</w:t>
            </w:r>
          </w:p>
        </w:tc>
        <w:tc>
          <w:tcPr>
            <w:tcW w:w="0" w:type="auto"/>
            <w:tcBorders>
              <w:top w:val="single" w:sz="0" w:space="0" w:color="D3D3D3"/>
              <w:left w:val="single" w:sz="0" w:space="0" w:color="D3D3D3"/>
              <w:bottom w:val="single" w:sz="0" w:space="0" w:color="D3D3D3"/>
              <w:right w:val="single" w:sz="0" w:space="0" w:color="D3D3D3"/>
            </w:tcBorders>
          </w:tcPr>
          <w:p w14:paraId="0557D0B2"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7.564925e-137</w:t>
            </w:r>
          </w:p>
        </w:tc>
      </w:tr>
      <w:tr w:rsidR="0076063B" w:rsidRPr="001E7AFE" w14:paraId="0557D0B9"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0B4" w14:textId="77777777" w:rsidR="0076063B" w:rsidRPr="001E7AFE" w:rsidRDefault="004D5838">
            <w:pPr>
              <w:keepNext/>
              <w:spacing w:after="60"/>
              <w:rPr>
                <w:color w:val="000000" w:themeColor="text1"/>
              </w:rPr>
            </w:pPr>
            <w:r w:rsidRPr="001E7AFE">
              <w:rPr>
                <w:rFonts w:ascii="Calibri" w:hAnsi="Calibri"/>
                <w:color w:val="000000" w:themeColor="text1"/>
                <w:sz w:val="20"/>
              </w:rPr>
              <w:t>Log(scale)</w:t>
            </w:r>
          </w:p>
        </w:tc>
        <w:tc>
          <w:tcPr>
            <w:tcW w:w="0" w:type="auto"/>
            <w:tcBorders>
              <w:top w:val="single" w:sz="0" w:space="0" w:color="D3D3D3"/>
              <w:left w:val="single" w:sz="0" w:space="0" w:color="D3D3D3"/>
              <w:bottom w:val="single" w:sz="0" w:space="0" w:color="D3D3D3"/>
              <w:right w:val="single" w:sz="0" w:space="0" w:color="D3D3D3"/>
            </w:tcBorders>
          </w:tcPr>
          <w:p w14:paraId="0557D0B5"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-0.055</w:t>
            </w:r>
          </w:p>
        </w:tc>
        <w:tc>
          <w:tcPr>
            <w:tcW w:w="0" w:type="auto"/>
            <w:tcBorders>
              <w:top w:val="single" w:sz="0" w:space="0" w:color="D3D3D3"/>
              <w:left w:val="single" w:sz="0" w:space="0" w:color="D3D3D3"/>
              <w:bottom w:val="single" w:sz="0" w:space="0" w:color="D3D3D3"/>
              <w:right w:val="single" w:sz="0" w:space="0" w:color="D3D3D3"/>
            </w:tcBorders>
          </w:tcPr>
          <w:p w14:paraId="0557D0B6"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0.055</w:t>
            </w:r>
          </w:p>
        </w:tc>
        <w:tc>
          <w:tcPr>
            <w:tcW w:w="0" w:type="auto"/>
            <w:tcBorders>
              <w:top w:val="single" w:sz="0" w:space="0" w:color="D3D3D3"/>
              <w:left w:val="single" w:sz="0" w:space="0" w:color="D3D3D3"/>
              <w:bottom w:val="single" w:sz="0" w:space="0" w:color="D3D3D3"/>
              <w:right w:val="single" w:sz="0" w:space="0" w:color="D3D3D3"/>
            </w:tcBorders>
          </w:tcPr>
          <w:p w14:paraId="0557D0B7"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-0.9878478</w:t>
            </w:r>
          </w:p>
        </w:tc>
        <w:tc>
          <w:tcPr>
            <w:tcW w:w="0" w:type="auto"/>
            <w:tcBorders>
              <w:top w:val="single" w:sz="0" w:space="0" w:color="D3D3D3"/>
              <w:left w:val="single" w:sz="0" w:space="0" w:color="D3D3D3"/>
              <w:bottom w:val="single" w:sz="0" w:space="0" w:color="D3D3D3"/>
              <w:right w:val="single" w:sz="0" w:space="0" w:color="D3D3D3"/>
            </w:tcBorders>
          </w:tcPr>
          <w:p w14:paraId="0557D0B8"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3.232272e-01</w:t>
            </w:r>
          </w:p>
        </w:tc>
      </w:tr>
      <w:tr w:rsidR="0076063B" w:rsidRPr="001E7AFE" w14:paraId="0557D0BB" w14:textId="77777777">
        <w:trPr>
          <w:cantSplit/>
          <w:jc w:val="center"/>
        </w:trPr>
        <w:tc>
          <w:tcPr>
            <w:tcW w:w="0" w:type="auto"/>
            <w:gridSpan w:val="5"/>
          </w:tcPr>
          <w:p w14:paraId="0557D0BA" w14:textId="77777777" w:rsidR="0076063B" w:rsidRPr="001E7AFE" w:rsidRDefault="004D5838">
            <w:pPr>
              <w:keepNext/>
              <w:spacing w:after="60"/>
              <w:rPr>
                <w:color w:val="000000" w:themeColor="text1"/>
              </w:rPr>
            </w:pPr>
            <w:r w:rsidRPr="001E7AFE">
              <w:rPr>
                <w:rFonts w:ascii="Calibri" w:hAnsi="Calibri"/>
                <w:color w:val="000000" w:themeColor="text1"/>
                <w:sz w:val="20"/>
              </w:rPr>
              <w:t>log-likelihood = -521.300825941116</w:t>
            </w:r>
          </w:p>
        </w:tc>
      </w:tr>
      <w:tr w:rsidR="0076063B" w:rsidRPr="001E7AFE" w14:paraId="0557D0BD" w14:textId="77777777">
        <w:trPr>
          <w:cantSplit/>
          <w:jc w:val="center"/>
        </w:trPr>
        <w:tc>
          <w:tcPr>
            <w:tcW w:w="0" w:type="auto"/>
            <w:gridSpan w:val="5"/>
          </w:tcPr>
          <w:p w14:paraId="0557D0BC" w14:textId="77777777" w:rsidR="0076063B" w:rsidRPr="001E7AFE" w:rsidRDefault="004D5838">
            <w:pPr>
              <w:keepNext/>
              <w:spacing w:after="60"/>
              <w:rPr>
                <w:color w:val="000000" w:themeColor="text1"/>
              </w:rPr>
            </w:pPr>
            <w:r w:rsidRPr="001E7AFE">
              <w:rPr>
                <w:rFonts w:ascii="Calibri" w:hAnsi="Calibri"/>
                <w:color w:val="000000" w:themeColor="text1"/>
                <w:sz w:val="20"/>
              </w:rPr>
              <w:t>AIC = 1046.60165188223</w:t>
            </w:r>
          </w:p>
        </w:tc>
      </w:tr>
      <w:tr w:rsidR="0076063B" w:rsidRPr="001E7AFE" w14:paraId="0557D0BF" w14:textId="77777777">
        <w:trPr>
          <w:cantSplit/>
          <w:jc w:val="center"/>
        </w:trPr>
        <w:tc>
          <w:tcPr>
            <w:tcW w:w="0" w:type="auto"/>
            <w:gridSpan w:val="5"/>
          </w:tcPr>
          <w:p w14:paraId="0557D0BE" w14:textId="77777777" w:rsidR="0076063B" w:rsidRPr="001E7AFE" w:rsidRDefault="004D5838">
            <w:pPr>
              <w:keepNext/>
              <w:spacing w:after="60"/>
              <w:rPr>
                <w:color w:val="000000" w:themeColor="text1"/>
              </w:rPr>
            </w:pPr>
            <w:r w:rsidRPr="001E7AFE">
              <w:rPr>
                <w:rFonts w:ascii="Calibri" w:hAnsi="Calibri"/>
                <w:color w:val="000000" w:themeColor="text1"/>
                <w:sz w:val="20"/>
              </w:rPr>
              <w:t>BIC = 1053.02062418792</w:t>
            </w:r>
          </w:p>
        </w:tc>
      </w:tr>
    </w:tbl>
    <w:tbl>
      <w:tblPr>
        <w:tblStyle w:val="Table"/>
        <w:tblW w:w="5000" w:type="pct"/>
        <w:tblLayout w:type="fixed"/>
        <w:tblLook w:val="0020" w:firstRow="1" w:lastRow="0" w:firstColumn="0" w:lastColumn="0" w:noHBand="0" w:noVBand="0"/>
      </w:tblPr>
      <w:tblGrid>
        <w:gridCol w:w="9360"/>
      </w:tblGrid>
      <w:tr w:rsidR="0076063B" w:rsidRPr="001E7AFE" w14:paraId="0557D0C3" w14:textId="77777777" w:rsidTr="001E7AFE">
        <w:trPr>
          <w:cnfStyle w:val="100000000000" w:firstRow="1" w:lastRow="0" w:firstColumn="0" w:lastColumn="0" w:oddVBand="0" w:evenVBand="0" w:oddHBand="0" w:evenHBand="0" w:firstRowFirstColumn="0" w:firstRowLastColumn="0" w:lastRowFirstColumn="0" w:lastRowLastColumn="0"/>
        </w:trPr>
        <w:tc>
          <w:tcPr>
            <w:tcW w:w="7920" w:type="dxa"/>
          </w:tcPr>
          <w:p w14:paraId="0557D0C2" w14:textId="77777777" w:rsidR="0076063B" w:rsidRPr="001E7AFE" w:rsidRDefault="004D5838">
            <w:pPr>
              <w:pStyle w:val="ImageCaption"/>
              <w:spacing w:before="200"/>
              <w:rPr>
                <w:color w:val="000000" w:themeColor="text1"/>
              </w:rPr>
            </w:pPr>
            <w:bookmarkStart w:id="25" w:name="tbl-km-log_normal-ch1"/>
            <w:r w:rsidRPr="001E7AFE">
              <w:rPr>
                <w:color w:val="000000" w:themeColor="text1"/>
              </w:rPr>
              <w:t>Table 4: Survival model fit summary (log-normal distribution)</w:t>
            </w:r>
          </w:p>
        </w:tc>
        <w:bookmarkEnd w:id="25"/>
      </w:tr>
    </w:tbl>
    <w:p w14:paraId="0557D0C4" w14:textId="77777777" w:rsidR="0076063B" w:rsidRPr="001E7AFE" w:rsidRDefault="004D5838">
      <w:pPr>
        <w:rPr>
          <w:color w:val="000000" w:themeColor="text1"/>
        </w:rPr>
      </w:pPr>
      <w:r w:rsidRPr="001E7AFE">
        <w:rPr>
          <w:color w:val="000000" w:themeColor="text1"/>
        </w:rPr>
        <w:br w:type="page"/>
      </w:r>
    </w:p>
    <w:p w14:paraId="0557D0C5" w14:textId="77777777" w:rsidR="0076063B" w:rsidRPr="001E7AFE" w:rsidRDefault="004D5838">
      <w:pPr>
        <w:pStyle w:val="Heading4"/>
        <w:rPr>
          <w:color w:val="000000" w:themeColor="text1"/>
        </w:rPr>
      </w:pPr>
      <w:bookmarkStart w:id="26" w:name="log-logistic"/>
      <w:bookmarkEnd w:id="23"/>
      <w:r w:rsidRPr="001E7AFE">
        <w:rPr>
          <w:color w:val="000000" w:themeColor="text1"/>
        </w:rPr>
        <w:lastRenderedPageBreak/>
        <w:t>Log-logistic</w:t>
      </w:r>
    </w:p>
    <w:tbl>
      <w:tblPr>
        <w:tblStyle w:val="Table"/>
        <w:tblW w:w="5000" w:type="pct"/>
        <w:tblLayout w:type="fixed"/>
        <w:tblLook w:val="0020" w:firstRow="1" w:lastRow="0" w:firstColumn="0" w:lastColumn="0" w:noHBand="0" w:noVBand="0"/>
      </w:tblPr>
      <w:tblGrid>
        <w:gridCol w:w="9360"/>
      </w:tblGrid>
      <w:tr w:rsidR="0076063B" w:rsidRPr="001E7AFE" w14:paraId="0557D0C8" w14:textId="77777777" w:rsidTr="001E7AFE">
        <w:trPr>
          <w:cnfStyle w:val="100000000000" w:firstRow="1" w:lastRow="0" w:firstColumn="0" w:lastColumn="0" w:oddVBand="0" w:evenVBand="0" w:oddHBand="0" w:evenHBand="0" w:firstRowFirstColumn="0" w:firstRowLastColumn="0" w:lastRowFirstColumn="0" w:lastRowLastColumn="0"/>
        </w:trPr>
        <w:tc>
          <w:tcPr>
            <w:tcW w:w="7920" w:type="dxa"/>
          </w:tcPr>
          <w:p w14:paraId="0557D0C6" w14:textId="77777777" w:rsidR="0076063B" w:rsidRPr="001E7AFE" w:rsidRDefault="004D5838">
            <w:pPr>
              <w:pStyle w:val="Compact"/>
              <w:jc w:val="center"/>
              <w:rPr>
                <w:color w:val="000000" w:themeColor="text1"/>
              </w:rPr>
            </w:pPr>
            <w:bookmarkStart w:id="27" w:name="fig-km-log_logistic-ch1"/>
            <w:r w:rsidRPr="001E7AFE">
              <w:rPr>
                <w:noProof/>
                <w:color w:val="000000" w:themeColor="text1"/>
              </w:rPr>
              <w:drawing>
                <wp:inline distT="0" distB="0" distL="0" distR="0" wp14:anchorId="0557D197" wp14:editId="0557D198">
                  <wp:extent cx="5943600" cy="3657600"/>
                  <wp:effectExtent l="0" t="0" r="0" b="0"/>
                  <wp:docPr id="65" name="Picture" title="A Kaplan-Meier plot showing overall survival over time for individuals who have received second line treatment after trastuzumab, with an overlaid log-logistic model fit."/>
                  <wp:cNvGraphicFramePr/>
                  <a:graphic xmlns:a="http://schemas.openxmlformats.org/drawingml/2006/main">
                    <a:graphicData uri="http://schemas.openxmlformats.org/drawingml/2006/picture">
                      <pic:pic xmlns:pic="http://schemas.openxmlformats.org/drawingml/2006/picture">
                        <pic:nvPicPr>
                          <pic:cNvPr id="66" name="Picture" descr="ID6680_trastuzumab_deruxtecan_gastric_files/figure-docx/fig-km-log_logistic-ch1-1.png"/>
                          <pic:cNvPicPr>
                            <a:picLocks noChangeAspect="1" noChangeArrowheads="1"/>
                          </pic:cNvPicPr>
                        </pic:nvPicPr>
                        <pic:blipFill>
                          <a:blip r:embed="rId20"/>
                          <a:stretch>
                            <a:fillRect/>
                          </a:stretch>
                        </pic:blipFill>
                        <pic:spPr bwMode="auto">
                          <a:xfrm>
                            <a:off x="0" y="0"/>
                            <a:ext cx="5943600" cy="3657600"/>
                          </a:xfrm>
                          <a:prstGeom prst="rect">
                            <a:avLst/>
                          </a:prstGeom>
                          <a:noFill/>
                          <a:ln w="9525">
                            <a:noFill/>
                            <a:headEnd/>
                            <a:tailEnd/>
                          </a:ln>
                        </pic:spPr>
                      </pic:pic>
                    </a:graphicData>
                  </a:graphic>
                </wp:inline>
              </w:drawing>
            </w:r>
          </w:p>
          <w:p w14:paraId="0557D0C7" w14:textId="77777777" w:rsidR="0076063B" w:rsidRPr="001E7AFE" w:rsidRDefault="004D5838">
            <w:pPr>
              <w:pStyle w:val="ImageCaption"/>
              <w:spacing w:before="200"/>
              <w:rPr>
                <w:color w:val="000000" w:themeColor="text1"/>
              </w:rPr>
            </w:pPr>
            <w:r w:rsidRPr="001E7AFE">
              <w:rPr>
                <w:color w:val="000000" w:themeColor="text1"/>
              </w:rPr>
              <w:t>Figure 6: Overall survival against log-logistic survival function</w:t>
            </w:r>
          </w:p>
        </w:tc>
        <w:bookmarkEnd w:id="27"/>
      </w:tr>
    </w:tbl>
    <w:p w14:paraId="0557D0C9" w14:textId="77777777" w:rsidR="0076063B" w:rsidRPr="001E7AFE" w:rsidRDefault="0076063B">
      <w:pPr>
        <w:pStyle w:val="BodyText"/>
        <w:rPr>
          <w:color w:val="000000" w:themeColor="text1"/>
        </w:rPr>
      </w:pPr>
    </w:p>
    <w:tbl>
      <w:tblPr>
        <w:tblW w:w="0" w:type="auto"/>
        <w:jc w:val="center"/>
        <w:tblCellMar>
          <w:left w:w="60" w:type="dxa"/>
          <w:right w:w="60" w:type="dxa"/>
        </w:tblCellMar>
        <w:tblLook w:val="0000" w:firstRow="0" w:lastRow="0" w:firstColumn="0" w:lastColumn="0" w:noHBand="0" w:noVBand="0"/>
      </w:tblPr>
      <w:tblGrid>
        <w:gridCol w:w="990"/>
        <w:gridCol w:w="831"/>
        <w:gridCol w:w="892"/>
        <w:gridCol w:w="982"/>
        <w:gridCol w:w="1345"/>
      </w:tblGrid>
      <w:tr w:rsidR="0076063B" w:rsidRPr="001E7AFE" w14:paraId="0557D0CF" w14:textId="77777777">
        <w:trPr>
          <w:cantSplit/>
          <w:tblHeader/>
          <w:jc w:val="center"/>
        </w:trPr>
        <w:tc>
          <w:tcPr>
            <w:tcW w:w="0" w:type="auto"/>
            <w:tcBorders>
              <w:top w:val="single" w:sz="16" w:space="0" w:color="D3D3D3"/>
              <w:left w:val="single" w:sz="0" w:space="0" w:color="D3D3D3"/>
              <w:bottom w:val="single" w:sz="16" w:space="0" w:color="D3D3D3"/>
            </w:tcBorders>
          </w:tcPr>
          <w:p w14:paraId="0557D0CA" w14:textId="77777777" w:rsidR="0076063B" w:rsidRPr="001E7AFE" w:rsidRDefault="004D5838">
            <w:pPr>
              <w:keepNext/>
              <w:spacing w:after="60"/>
              <w:rPr>
                <w:color w:val="000000" w:themeColor="text1"/>
              </w:rPr>
            </w:pPr>
            <w:r w:rsidRPr="001E7AFE">
              <w:rPr>
                <w:rFonts w:ascii="Calibri" w:hAnsi="Calibri"/>
                <w:color w:val="000000" w:themeColor="text1"/>
                <w:sz w:val="20"/>
              </w:rPr>
              <w:t>Parameter</w:t>
            </w:r>
          </w:p>
        </w:tc>
        <w:tc>
          <w:tcPr>
            <w:tcW w:w="0" w:type="auto"/>
            <w:tcBorders>
              <w:top w:val="single" w:sz="16" w:space="0" w:color="D3D3D3"/>
              <w:bottom w:val="single" w:sz="16" w:space="0" w:color="D3D3D3"/>
            </w:tcBorders>
          </w:tcPr>
          <w:p w14:paraId="0557D0CB"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Estimate</w:t>
            </w:r>
          </w:p>
        </w:tc>
        <w:tc>
          <w:tcPr>
            <w:tcW w:w="0" w:type="auto"/>
            <w:tcBorders>
              <w:top w:val="single" w:sz="16" w:space="0" w:color="D3D3D3"/>
              <w:bottom w:val="single" w:sz="16" w:space="0" w:color="D3D3D3"/>
            </w:tcBorders>
          </w:tcPr>
          <w:p w14:paraId="0557D0CC"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Std. Error</w:t>
            </w:r>
          </w:p>
        </w:tc>
        <w:tc>
          <w:tcPr>
            <w:tcW w:w="0" w:type="auto"/>
            <w:tcBorders>
              <w:top w:val="single" w:sz="16" w:space="0" w:color="D3D3D3"/>
              <w:bottom w:val="single" w:sz="16" w:space="0" w:color="D3D3D3"/>
            </w:tcBorders>
          </w:tcPr>
          <w:p w14:paraId="0557D0CD"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z</w:t>
            </w:r>
          </w:p>
        </w:tc>
        <w:tc>
          <w:tcPr>
            <w:tcW w:w="0" w:type="auto"/>
            <w:tcBorders>
              <w:top w:val="single" w:sz="16" w:space="0" w:color="D3D3D3"/>
              <w:bottom w:val="single" w:sz="16" w:space="0" w:color="D3D3D3"/>
              <w:right w:val="single" w:sz="0" w:space="0" w:color="D3D3D3"/>
            </w:tcBorders>
          </w:tcPr>
          <w:p w14:paraId="0557D0CE"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p-value</w:t>
            </w:r>
          </w:p>
        </w:tc>
      </w:tr>
      <w:tr w:rsidR="0076063B" w:rsidRPr="001E7AFE" w14:paraId="0557D0D5"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0D0" w14:textId="77777777" w:rsidR="0076063B" w:rsidRPr="001E7AFE" w:rsidRDefault="004D5838">
            <w:pPr>
              <w:keepNext/>
              <w:spacing w:after="60"/>
              <w:rPr>
                <w:color w:val="000000" w:themeColor="text1"/>
              </w:rPr>
            </w:pPr>
            <w:r w:rsidRPr="001E7AFE">
              <w:rPr>
                <w:rFonts w:ascii="Calibri" w:hAnsi="Calibri"/>
                <w:color w:val="000000" w:themeColor="text1"/>
                <w:sz w:val="20"/>
              </w:rPr>
              <w:t>(Intercept)</w:t>
            </w:r>
          </w:p>
        </w:tc>
        <w:tc>
          <w:tcPr>
            <w:tcW w:w="0" w:type="auto"/>
            <w:tcBorders>
              <w:top w:val="single" w:sz="0" w:space="0" w:color="D3D3D3"/>
              <w:left w:val="single" w:sz="0" w:space="0" w:color="D3D3D3"/>
              <w:bottom w:val="single" w:sz="0" w:space="0" w:color="D3D3D3"/>
              <w:right w:val="single" w:sz="0" w:space="0" w:color="D3D3D3"/>
            </w:tcBorders>
          </w:tcPr>
          <w:p w14:paraId="0557D0D1"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1.767</w:t>
            </w:r>
          </w:p>
        </w:tc>
        <w:tc>
          <w:tcPr>
            <w:tcW w:w="0" w:type="auto"/>
            <w:tcBorders>
              <w:top w:val="single" w:sz="0" w:space="0" w:color="D3D3D3"/>
              <w:left w:val="single" w:sz="0" w:space="0" w:color="D3D3D3"/>
              <w:bottom w:val="single" w:sz="0" w:space="0" w:color="D3D3D3"/>
              <w:right w:val="single" w:sz="0" w:space="0" w:color="D3D3D3"/>
            </w:tcBorders>
          </w:tcPr>
          <w:p w14:paraId="0557D0D2"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0.071</w:t>
            </w:r>
          </w:p>
        </w:tc>
        <w:tc>
          <w:tcPr>
            <w:tcW w:w="0" w:type="auto"/>
            <w:tcBorders>
              <w:top w:val="single" w:sz="0" w:space="0" w:color="D3D3D3"/>
              <w:left w:val="single" w:sz="0" w:space="0" w:color="D3D3D3"/>
              <w:bottom w:val="single" w:sz="0" w:space="0" w:color="D3D3D3"/>
              <w:right w:val="single" w:sz="0" w:space="0" w:color="D3D3D3"/>
            </w:tcBorders>
          </w:tcPr>
          <w:p w14:paraId="0557D0D3"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25.054779</w:t>
            </w:r>
          </w:p>
        </w:tc>
        <w:tc>
          <w:tcPr>
            <w:tcW w:w="0" w:type="auto"/>
            <w:tcBorders>
              <w:top w:val="single" w:sz="0" w:space="0" w:color="D3D3D3"/>
              <w:left w:val="single" w:sz="0" w:space="0" w:color="D3D3D3"/>
              <w:bottom w:val="single" w:sz="0" w:space="0" w:color="D3D3D3"/>
              <w:right w:val="single" w:sz="0" w:space="0" w:color="D3D3D3"/>
            </w:tcBorders>
          </w:tcPr>
          <w:p w14:paraId="0557D0D4"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1.548544e-138</w:t>
            </w:r>
          </w:p>
        </w:tc>
      </w:tr>
      <w:tr w:rsidR="0076063B" w:rsidRPr="001E7AFE" w14:paraId="0557D0DB"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0D6" w14:textId="77777777" w:rsidR="0076063B" w:rsidRPr="001E7AFE" w:rsidRDefault="004D5838">
            <w:pPr>
              <w:keepNext/>
              <w:spacing w:after="60"/>
              <w:rPr>
                <w:color w:val="000000" w:themeColor="text1"/>
              </w:rPr>
            </w:pPr>
            <w:r w:rsidRPr="001E7AFE">
              <w:rPr>
                <w:rFonts w:ascii="Calibri" w:hAnsi="Calibri"/>
                <w:color w:val="000000" w:themeColor="text1"/>
                <w:sz w:val="20"/>
              </w:rPr>
              <w:t>Log(scale)</w:t>
            </w:r>
          </w:p>
        </w:tc>
        <w:tc>
          <w:tcPr>
            <w:tcW w:w="0" w:type="auto"/>
            <w:tcBorders>
              <w:top w:val="single" w:sz="0" w:space="0" w:color="D3D3D3"/>
              <w:left w:val="single" w:sz="0" w:space="0" w:color="D3D3D3"/>
              <w:bottom w:val="single" w:sz="0" w:space="0" w:color="D3D3D3"/>
              <w:right w:val="single" w:sz="0" w:space="0" w:color="D3D3D3"/>
            </w:tcBorders>
          </w:tcPr>
          <w:p w14:paraId="0557D0D7"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-0.605</w:t>
            </w:r>
          </w:p>
        </w:tc>
        <w:tc>
          <w:tcPr>
            <w:tcW w:w="0" w:type="auto"/>
            <w:tcBorders>
              <w:top w:val="single" w:sz="0" w:space="0" w:color="D3D3D3"/>
              <w:left w:val="single" w:sz="0" w:space="0" w:color="D3D3D3"/>
              <w:bottom w:val="single" w:sz="0" w:space="0" w:color="D3D3D3"/>
              <w:right w:val="single" w:sz="0" w:space="0" w:color="D3D3D3"/>
            </w:tcBorders>
          </w:tcPr>
          <w:p w14:paraId="0557D0D8"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0.064</w:t>
            </w:r>
          </w:p>
        </w:tc>
        <w:tc>
          <w:tcPr>
            <w:tcW w:w="0" w:type="auto"/>
            <w:tcBorders>
              <w:top w:val="single" w:sz="0" w:space="0" w:color="D3D3D3"/>
              <w:left w:val="single" w:sz="0" w:space="0" w:color="D3D3D3"/>
              <w:bottom w:val="single" w:sz="0" w:space="0" w:color="D3D3D3"/>
              <w:right w:val="single" w:sz="0" w:space="0" w:color="D3D3D3"/>
            </w:tcBorders>
          </w:tcPr>
          <w:p w14:paraId="0557D0D9"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-9.512119</w:t>
            </w:r>
          </w:p>
        </w:tc>
        <w:tc>
          <w:tcPr>
            <w:tcW w:w="0" w:type="auto"/>
            <w:tcBorders>
              <w:top w:val="single" w:sz="0" w:space="0" w:color="D3D3D3"/>
              <w:left w:val="single" w:sz="0" w:space="0" w:color="D3D3D3"/>
              <w:bottom w:val="single" w:sz="0" w:space="0" w:color="D3D3D3"/>
              <w:right w:val="single" w:sz="0" w:space="0" w:color="D3D3D3"/>
            </w:tcBorders>
          </w:tcPr>
          <w:p w14:paraId="0557D0DA"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1.868171e-21</w:t>
            </w:r>
          </w:p>
        </w:tc>
      </w:tr>
      <w:tr w:rsidR="0076063B" w:rsidRPr="001E7AFE" w14:paraId="0557D0DD" w14:textId="77777777">
        <w:trPr>
          <w:cantSplit/>
          <w:jc w:val="center"/>
        </w:trPr>
        <w:tc>
          <w:tcPr>
            <w:tcW w:w="0" w:type="auto"/>
            <w:gridSpan w:val="5"/>
          </w:tcPr>
          <w:p w14:paraId="0557D0DC" w14:textId="77777777" w:rsidR="0076063B" w:rsidRPr="001E7AFE" w:rsidRDefault="004D5838">
            <w:pPr>
              <w:keepNext/>
              <w:spacing w:after="60"/>
              <w:rPr>
                <w:color w:val="000000" w:themeColor="text1"/>
              </w:rPr>
            </w:pPr>
            <w:r w:rsidRPr="001E7AFE">
              <w:rPr>
                <w:rFonts w:ascii="Calibri" w:hAnsi="Calibri"/>
                <w:color w:val="000000" w:themeColor="text1"/>
                <w:sz w:val="20"/>
              </w:rPr>
              <w:t>log-likelihood = -522.117762229275</w:t>
            </w:r>
          </w:p>
        </w:tc>
      </w:tr>
      <w:tr w:rsidR="0076063B" w:rsidRPr="001E7AFE" w14:paraId="0557D0DF" w14:textId="77777777">
        <w:trPr>
          <w:cantSplit/>
          <w:jc w:val="center"/>
        </w:trPr>
        <w:tc>
          <w:tcPr>
            <w:tcW w:w="0" w:type="auto"/>
            <w:gridSpan w:val="5"/>
          </w:tcPr>
          <w:p w14:paraId="0557D0DE" w14:textId="77777777" w:rsidR="0076063B" w:rsidRPr="001E7AFE" w:rsidRDefault="004D5838">
            <w:pPr>
              <w:keepNext/>
              <w:spacing w:after="60"/>
              <w:rPr>
                <w:color w:val="000000" w:themeColor="text1"/>
              </w:rPr>
            </w:pPr>
            <w:r w:rsidRPr="001E7AFE">
              <w:rPr>
                <w:rFonts w:ascii="Calibri" w:hAnsi="Calibri"/>
                <w:color w:val="000000" w:themeColor="text1"/>
                <w:sz w:val="20"/>
              </w:rPr>
              <w:t>AIC = 1048.23552445855</w:t>
            </w:r>
          </w:p>
        </w:tc>
      </w:tr>
      <w:tr w:rsidR="0076063B" w:rsidRPr="001E7AFE" w14:paraId="0557D0E1" w14:textId="77777777">
        <w:trPr>
          <w:cantSplit/>
          <w:jc w:val="center"/>
        </w:trPr>
        <w:tc>
          <w:tcPr>
            <w:tcW w:w="0" w:type="auto"/>
            <w:gridSpan w:val="5"/>
          </w:tcPr>
          <w:p w14:paraId="0557D0E0" w14:textId="77777777" w:rsidR="0076063B" w:rsidRPr="001E7AFE" w:rsidRDefault="004D5838">
            <w:pPr>
              <w:keepNext/>
              <w:spacing w:after="60"/>
              <w:rPr>
                <w:color w:val="000000" w:themeColor="text1"/>
              </w:rPr>
            </w:pPr>
            <w:r w:rsidRPr="001E7AFE">
              <w:rPr>
                <w:rFonts w:ascii="Calibri" w:hAnsi="Calibri"/>
                <w:color w:val="000000" w:themeColor="text1"/>
                <w:sz w:val="20"/>
              </w:rPr>
              <w:t>BIC = 1054.65449676423</w:t>
            </w:r>
          </w:p>
        </w:tc>
      </w:tr>
    </w:tbl>
    <w:tbl>
      <w:tblPr>
        <w:tblStyle w:val="Table"/>
        <w:tblW w:w="5000" w:type="pct"/>
        <w:tblLayout w:type="fixed"/>
        <w:tblLook w:val="0020" w:firstRow="1" w:lastRow="0" w:firstColumn="0" w:lastColumn="0" w:noHBand="0" w:noVBand="0"/>
      </w:tblPr>
      <w:tblGrid>
        <w:gridCol w:w="9360"/>
      </w:tblGrid>
      <w:tr w:rsidR="0076063B" w:rsidRPr="001E7AFE" w14:paraId="0557D0E5" w14:textId="77777777" w:rsidTr="001E7AFE">
        <w:trPr>
          <w:cnfStyle w:val="100000000000" w:firstRow="1" w:lastRow="0" w:firstColumn="0" w:lastColumn="0" w:oddVBand="0" w:evenVBand="0" w:oddHBand="0" w:evenHBand="0" w:firstRowFirstColumn="0" w:firstRowLastColumn="0" w:lastRowFirstColumn="0" w:lastRowLastColumn="0"/>
        </w:trPr>
        <w:tc>
          <w:tcPr>
            <w:tcW w:w="7920" w:type="dxa"/>
          </w:tcPr>
          <w:p w14:paraId="0557D0E4" w14:textId="77777777" w:rsidR="0076063B" w:rsidRPr="001E7AFE" w:rsidRDefault="004D5838">
            <w:pPr>
              <w:pStyle w:val="ImageCaption"/>
              <w:spacing w:before="200"/>
              <w:rPr>
                <w:color w:val="000000" w:themeColor="text1"/>
              </w:rPr>
            </w:pPr>
            <w:bookmarkStart w:id="28" w:name="tbl-km-log_logistic-ch1"/>
            <w:r w:rsidRPr="001E7AFE">
              <w:rPr>
                <w:color w:val="000000" w:themeColor="text1"/>
              </w:rPr>
              <w:t>Table 5: Survival model fit summary (log-logistic distribution)</w:t>
            </w:r>
          </w:p>
        </w:tc>
        <w:bookmarkEnd w:id="28"/>
      </w:tr>
    </w:tbl>
    <w:p w14:paraId="0557D0E6" w14:textId="77777777" w:rsidR="0076063B" w:rsidRPr="001E7AFE" w:rsidRDefault="004D5838">
      <w:pPr>
        <w:rPr>
          <w:color w:val="000000" w:themeColor="text1"/>
        </w:rPr>
      </w:pPr>
      <w:r w:rsidRPr="001E7AFE">
        <w:rPr>
          <w:color w:val="000000" w:themeColor="text1"/>
        </w:rPr>
        <w:br w:type="page"/>
      </w:r>
    </w:p>
    <w:p w14:paraId="0557D0E7" w14:textId="77777777" w:rsidR="0076063B" w:rsidRPr="001E7AFE" w:rsidRDefault="004D5838">
      <w:pPr>
        <w:pStyle w:val="Heading4"/>
        <w:rPr>
          <w:color w:val="000000" w:themeColor="text1"/>
        </w:rPr>
      </w:pPr>
      <w:bookmarkStart w:id="29" w:name="gaussian"/>
      <w:bookmarkEnd w:id="26"/>
      <w:r w:rsidRPr="001E7AFE">
        <w:rPr>
          <w:color w:val="000000" w:themeColor="text1"/>
        </w:rPr>
        <w:lastRenderedPageBreak/>
        <w:t>Gaussian</w:t>
      </w:r>
    </w:p>
    <w:tbl>
      <w:tblPr>
        <w:tblStyle w:val="Table"/>
        <w:tblW w:w="5000" w:type="pct"/>
        <w:tblLayout w:type="fixed"/>
        <w:tblLook w:val="0020" w:firstRow="1" w:lastRow="0" w:firstColumn="0" w:lastColumn="0" w:noHBand="0" w:noVBand="0"/>
      </w:tblPr>
      <w:tblGrid>
        <w:gridCol w:w="9360"/>
      </w:tblGrid>
      <w:tr w:rsidR="0076063B" w:rsidRPr="001E7AFE" w14:paraId="0557D0EA" w14:textId="77777777" w:rsidTr="001E7AFE">
        <w:trPr>
          <w:cnfStyle w:val="100000000000" w:firstRow="1" w:lastRow="0" w:firstColumn="0" w:lastColumn="0" w:oddVBand="0" w:evenVBand="0" w:oddHBand="0" w:evenHBand="0" w:firstRowFirstColumn="0" w:firstRowLastColumn="0" w:lastRowFirstColumn="0" w:lastRowLastColumn="0"/>
        </w:trPr>
        <w:tc>
          <w:tcPr>
            <w:tcW w:w="7920" w:type="dxa"/>
          </w:tcPr>
          <w:p w14:paraId="0557D0E8" w14:textId="77777777" w:rsidR="0076063B" w:rsidRPr="001E7AFE" w:rsidRDefault="004D5838">
            <w:pPr>
              <w:pStyle w:val="Compact"/>
              <w:jc w:val="center"/>
              <w:rPr>
                <w:color w:val="000000" w:themeColor="text1"/>
              </w:rPr>
            </w:pPr>
            <w:bookmarkStart w:id="30" w:name="fig-km-Gaussian-ch1"/>
            <w:r w:rsidRPr="001E7AFE">
              <w:rPr>
                <w:noProof/>
                <w:color w:val="000000" w:themeColor="text1"/>
              </w:rPr>
              <w:drawing>
                <wp:inline distT="0" distB="0" distL="0" distR="0" wp14:anchorId="0557D199" wp14:editId="0557D19A">
                  <wp:extent cx="5943600" cy="3657600"/>
                  <wp:effectExtent l="0" t="0" r="0" b="0"/>
                  <wp:docPr id="71" name="Picture" title="A Kaplan-Meier plot showing overall survival over time for individuals who have received second line treatment after trastuzumab, with an overlaid Gaussian model fit."/>
                  <wp:cNvGraphicFramePr/>
                  <a:graphic xmlns:a="http://schemas.openxmlformats.org/drawingml/2006/main">
                    <a:graphicData uri="http://schemas.openxmlformats.org/drawingml/2006/picture">
                      <pic:pic xmlns:pic="http://schemas.openxmlformats.org/drawingml/2006/picture">
                        <pic:nvPicPr>
                          <pic:cNvPr id="72" name="Picture" descr="ID6680_trastuzumab_deruxtecan_gastric_files/figure-docx/fig-km-Gaussian-ch1-1.png"/>
                          <pic:cNvPicPr>
                            <a:picLocks noChangeAspect="1" noChangeArrowheads="1"/>
                          </pic:cNvPicPr>
                        </pic:nvPicPr>
                        <pic:blipFill>
                          <a:blip r:embed="rId21"/>
                          <a:stretch>
                            <a:fillRect/>
                          </a:stretch>
                        </pic:blipFill>
                        <pic:spPr bwMode="auto">
                          <a:xfrm>
                            <a:off x="0" y="0"/>
                            <a:ext cx="5943600" cy="3657600"/>
                          </a:xfrm>
                          <a:prstGeom prst="rect">
                            <a:avLst/>
                          </a:prstGeom>
                          <a:noFill/>
                          <a:ln w="9525">
                            <a:noFill/>
                            <a:headEnd/>
                            <a:tailEnd/>
                          </a:ln>
                        </pic:spPr>
                      </pic:pic>
                    </a:graphicData>
                  </a:graphic>
                </wp:inline>
              </w:drawing>
            </w:r>
          </w:p>
          <w:p w14:paraId="0557D0E9" w14:textId="77777777" w:rsidR="0076063B" w:rsidRPr="001E7AFE" w:rsidRDefault="004D5838">
            <w:pPr>
              <w:pStyle w:val="ImageCaption"/>
              <w:spacing w:before="200"/>
              <w:rPr>
                <w:color w:val="000000" w:themeColor="text1"/>
              </w:rPr>
            </w:pPr>
            <w:r w:rsidRPr="001E7AFE">
              <w:rPr>
                <w:color w:val="000000" w:themeColor="text1"/>
              </w:rPr>
              <w:t>Figure 7: Overall survival against Gaussian survival function</w:t>
            </w:r>
          </w:p>
        </w:tc>
        <w:bookmarkEnd w:id="30"/>
      </w:tr>
    </w:tbl>
    <w:p w14:paraId="0557D0EB" w14:textId="77777777" w:rsidR="0076063B" w:rsidRPr="001E7AFE" w:rsidRDefault="0076063B">
      <w:pPr>
        <w:pStyle w:val="BodyText"/>
        <w:rPr>
          <w:color w:val="000000" w:themeColor="text1"/>
        </w:rPr>
      </w:pPr>
    </w:p>
    <w:tbl>
      <w:tblPr>
        <w:tblW w:w="0" w:type="auto"/>
        <w:jc w:val="center"/>
        <w:tblCellMar>
          <w:left w:w="60" w:type="dxa"/>
          <w:right w:w="60" w:type="dxa"/>
        </w:tblCellMar>
        <w:tblLook w:val="0000" w:firstRow="0" w:lastRow="0" w:firstColumn="0" w:lastColumn="0" w:noHBand="0" w:noVBand="0"/>
      </w:tblPr>
      <w:tblGrid>
        <w:gridCol w:w="990"/>
        <w:gridCol w:w="831"/>
        <w:gridCol w:w="892"/>
        <w:gridCol w:w="881"/>
        <w:gridCol w:w="1345"/>
      </w:tblGrid>
      <w:tr w:rsidR="0076063B" w:rsidRPr="001E7AFE" w14:paraId="0557D0F1" w14:textId="77777777">
        <w:trPr>
          <w:cantSplit/>
          <w:tblHeader/>
          <w:jc w:val="center"/>
        </w:trPr>
        <w:tc>
          <w:tcPr>
            <w:tcW w:w="0" w:type="auto"/>
            <w:tcBorders>
              <w:top w:val="single" w:sz="16" w:space="0" w:color="D3D3D3"/>
              <w:left w:val="single" w:sz="0" w:space="0" w:color="D3D3D3"/>
              <w:bottom w:val="single" w:sz="16" w:space="0" w:color="D3D3D3"/>
            </w:tcBorders>
          </w:tcPr>
          <w:p w14:paraId="0557D0EC" w14:textId="77777777" w:rsidR="0076063B" w:rsidRPr="001E7AFE" w:rsidRDefault="004D5838">
            <w:pPr>
              <w:keepNext/>
              <w:spacing w:after="60"/>
              <w:rPr>
                <w:color w:val="000000" w:themeColor="text1"/>
              </w:rPr>
            </w:pPr>
            <w:r w:rsidRPr="001E7AFE">
              <w:rPr>
                <w:rFonts w:ascii="Calibri" w:hAnsi="Calibri"/>
                <w:color w:val="000000" w:themeColor="text1"/>
                <w:sz w:val="20"/>
              </w:rPr>
              <w:t>Parameter</w:t>
            </w:r>
          </w:p>
        </w:tc>
        <w:tc>
          <w:tcPr>
            <w:tcW w:w="0" w:type="auto"/>
            <w:tcBorders>
              <w:top w:val="single" w:sz="16" w:space="0" w:color="D3D3D3"/>
              <w:bottom w:val="single" w:sz="16" w:space="0" w:color="D3D3D3"/>
            </w:tcBorders>
          </w:tcPr>
          <w:p w14:paraId="0557D0ED"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Estimate</w:t>
            </w:r>
          </w:p>
        </w:tc>
        <w:tc>
          <w:tcPr>
            <w:tcW w:w="0" w:type="auto"/>
            <w:tcBorders>
              <w:top w:val="single" w:sz="16" w:space="0" w:color="D3D3D3"/>
              <w:bottom w:val="single" w:sz="16" w:space="0" w:color="D3D3D3"/>
            </w:tcBorders>
          </w:tcPr>
          <w:p w14:paraId="0557D0EE"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Std. Error</w:t>
            </w:r>
          </w:p>
        </w:tc>
        <w:tc>
          <w:tcPr>
            <w:tcW w:w="0" w:type="auto"/>
            <w:tcBorders>
              <w:top w:val="single" w:sz="16" w:space="0" w:color="D3D3D3"/>
              <w:bottom w:val="single" w:sz="16" w:space="0" w:color="D3D3D3"/>
            </w:tcBorders>
          </w:tcPr>
          <w:p w14:paraId="0557D0EF"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z</w:t>
            </w:r>
          </w:p>
        </w:tc>
        <w:tc>
          <w:tcPr>
            <w:tcW w:w="0" w:type="auto"/>
            <w:tcBorders>
              <w:top w:val="single" w:sz="16" w:space="0" w:color="D3D3D3"/>
              <w:bottom w:val="single" w:sz="16" w:space="0" w:color="D3D3D3"/>
              <w:right w:val="single" w:sz="0" w:space="0" w:color="D3D3D3"/>
            </w:tcBorders>
          </w:tcPr>
          <w:p w14:paraId="0557D0F0"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p-value</w:t>
            </w:r>
          </w:p>
        </w:tc>
      </w:tr>
      <w:tr w:rsidR="0076063B" w:rsidRPr="001E7AFE" w14:paraId="0557D0F7"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0F2" w14:textId="77777777" w:rsidR="0076063B" w:rsidRPr="001E7AFE" w:rsidRDefault="004D5838">
            <w:pPr>
              <w:keepNext/>
              <w:spacing w:after="60"/>
              <w:rPr>
                <w:color w:val="000000" w:themeColor="text1"/>
              </w:rPr>
            </w:pPr>
            <w:r w:rsidRPr="001E7AFE">
              <w:rPr>
                <w:rFonts w:ascii="Calibri" w:hAnsi="Calibri"/>
                <w:color w:val="000000" w:themeColor="text1"/>
                <w:sz w:val="20"/>
              </w:rPr>
              <w:t>(Intercept)</w:t>
            </w:r>
          </w:p>
        </w:tc>
        <w:tc>
          <w:tcPr>
            <w:tcW w:w="0" w:type="auto"/>
            <w:tcBorders>
              <w:top w:val="single" w:sz="0" w:space="0" w:color="D3D3D3"/>
              <w:left w:val="single" w:sz="0" w:space="0" w:color="D3D3D3"/>
              <w:bottom w:val="single" w:sz="0" w:space="0" w:color="D3D3D3"/>
              <w:right w:val="single" w:sz="0" w:space="0" w:color="D3D3D3"/>
            </w:tcBorders>
          </w:tcPr>
          <w:p w14:paraId="0557D0F3"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8.335</w:t>
            </w:r>
          </w:p>
        </w:tc>
        <w:tc>
          <w:tcPr>
            <w:tcW w:w="0" w:type="auto"/>
            <w:tcBorders>
              <w:top w:val="single" w:sz="0" w:space="0" w:color="D3D3D3"/>
              <w:left w:val="single" w:sz="0" w:space="0" w:color="D3D3D3"/>
              <w:bottom w:val="single" w:sz="0" w:space="0" w:color="D3D3D3"/>
              <w:right w:val="single" w:sz="0" w:space="0" w:color="D3D3D3"/>
            </w:tcBorders>
          </w:tcPr>
          <w:p w14:paraId="0557D0F4"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0.584</w:t>
            </w:r>
          </w:p>
        </w:tc>
        <w:tc>
          <w:tcPr>
            <w:tcW w:w="0" w:type="auto"/>
            <w:tcBorders>
              <w:top w:val="single" w:sz="0" w:space="0" w:color="D3D3D3"/>
              <w:left w:val="single" w:sz="0" w:space="0" w:color="D3D3D3"/>
              <w:bottom w:val="single" w:sz="0" w:space="0" w:color="D3D3D3"/>
              <w:right w:val="single" w:sz="0" w:space="0" w:color="D3D3D3"/>
            </w:tcBorders>
          </w:tcPr>
          <w:p w14:paraId="0557D0F5"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14.27874</w:t>
            </w:r>
          </w:p>
        </w:tc>
        <w:tc>
          <w:tcPr>
            <w:tcW w:w="0" w:type="auto"/>
            <w:tcBorders>
              <w:top w:val="single" w:sz="0" w:space="0" w:color="D3D3D3"/>
              <w:left w:val="single" w:sz="0" w:space="0" w:color="D3D3D3"/>
              <w:bottom w:val="single" w:sz="0" w:space="0" w:color="D3D3D3"/>
              <w:right w:val="single" w:sz="0" w:space="0" w:color="D3D3D3"/>
            </w:tcBorders>
          </w:tcPr>
          <w:p w14:paraId="0557D0F6"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2.969096e-46</w:t>
            </w:r>
          </w:p>
        </w:tc>
      </w:tr>
      <w:tr w:rsidR="0076063B" w:rsidRPr="001E7AFE" w14:paraId="0557D0FD"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0F8" w14:textId="77777777" w:rsidR="0076063B" w:rsidRPr="001E7AFE" w:rsidRDefault="004D5838">
            <w:pPr>
              <w:keepNext/>
              <w:spacing w:after="60"/>
              <w:rPr>
                <w:color w:val="000000" w:themeColor="text1"/>
              </w:rPr>
            </w:pPr>
            <w:r w:rsidRPr="001E7AFE">
              <w:rPr>
                <w:rFonts w:ascii="Calibri" w:hAnsi="Calibri"/>
                <w:color w:val="000000" w:themeColor="text1"/>
                <w:sz w:val="20"/>
              </w:rPr>
              <w:t>Log(scale)</w:t>
            </w:r>
          </w:p>
        </w:tc>
        <w:tc>
          <w:tcPr>
            <w:tcW w:w="0" w:type="auto"/>
            <w:tcBorders>
              <w:top w:val="single" w:sz="0" w:space="0" w:color="D3D3D3"/>
              <w:left w:val="single" w:sz="0" w:space="0" w:color="D3D3D3"/>
              <w:bottom w:val="single" w:sz="0" w:space="0" w:color="D3D3D3"/>
              <w:right w:val="single" w:sz="0" w:space="0" w:color="D3D3D3"/>
            </w:tcBorders>
          </w:tcPr>
          <w:p w14:paraId="0557D0F9"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2.058</w:t>
            </w:r>
          </w:p>
        </w:tc>
        <w:tc>
          <w:tcPr>
            <w:tcW w:w="0" w:type="auto"/>
            <w:tcBorders>
              <w:top w:val="single" w:sz="0" w:space="0" w:color="D3D3D3"/>
              <w:left w:val="single" w:sz="0" w:space="0" w:color="D3D3D3"/>
              <w:bottom w:val="single" w:sz="0" w:space="0" w:color="D3D3D3"/>
              <w:right w:val="single" w:sz="0" w:space="0" w:color="D3D3D3"/>
            </w:tcBorders>
          </w:tcPr>
          <w:p w14:paraId="0557D0FA"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0.055</w:t>
            </w:r>
          </w:p>
        </w:tc>
        <w:tc>
          <w:tcPr>
            <w:tcW w:w="0" w:type="auto"/>
            <w:tcBorders>
              <w:top w:val="single" w:sz="0" w:space="0" w:color="D3D3D3"/>
              <w:left w:val="single" w:sz="0" w:space="0" w:color="D3D3D3"/>
              <w:bottom w:val="single" w:sz="0" w:space="0" w:color="D3D3D3"/>
              <w:right w:val="single" w:sz="0" w:space="0" w:color="D3D3D3"/>
            </w:tcBorders>
          </w:tcPr>
          <w:p w14:paraId="0557D0FB"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37.20083</w:t>
            </w:r>
          </w:p>
        </w:tc>
        <w:tc>
          <w:tcPr>
            <w:tcW w:w="0" w:type="auto"/>
            <w:tcBorders>
              <w:top w:val="single" w:sz="0" w:space="0" w:color="D3D3D3"/>
              <w:left w:val="single" w:sz="0" w:space="0" w:color="D3D3D3"/>
              <w:bottom w:val="single" w:sz="0" w:space="0" w:color="D3D3D3"/>
              <w:right w:val="single" w:sz="0" w:space="0" w:color="D3D3D3"/>
            </w:tcBorders>
          </w:tcPr>
          <w:p w14:paraId="0557D0FC"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6.616261e-303</w:t>
            </w:r>
          </w:p>
        </w:tc>
      </w:tr>
      <w:tr w:rsidR="0076063B" w:rsidRPr="001E7AFE" w14:paraId="0557D0FF" w14:textId="77777777">
        <w:trPr>
          <w:cantSplit/>
          <w:jc w:val="center"/>
        </w:trPr>
        <w:tc>
          <w:tcPr>
            <w:tcW w:w="0" w:type="auto"/>
            <w:gridSpan w:val="5"/>
          </w:tcPr>
          <w:p w14:paraId="0557D0FE" w14:textId="77777777" w:rsidR="0076063B" w:rsidRPr="001E7AFE" w:rsidRDefault="004D5838">
            <w:pPr>
              <w:keepNext/>
              <w:spacing w:after="60"/>
              <w:rPr>
                <w:color w:val="000000" w:themeColor="text1"/>
              </w:rPr>
            </w:pPr>
            <w:r w:rsidRPr="001E7AFE">
              <w:rPr>
                <w:rFonts w:ascii="Calibri" w:hAnsi="Calibri"/>
                <w:color w:val="000000" w:themeColor="text1"/>
                <w:sz w:val="20"/>
              </w:rPr>
              <w:t>log-likelihood = -604.066207008421</w:t>
            </w:r>
          </w:p>
        </w:tc>
      </w:tr>
      <w:tr w:rsidR="0076063B" w:rsidRPr="001E7AFE" w14:paraId="0557D101" w14:textId="77777777">
        <w:trPr>
          <w:cantSplit/>
          <w:jc w:val="center"/>
        </w:trPr>
        <w:tc>
          <w:tcPr>
            <w:tcW w:w="0" w:type="auto"/>
            <w:gridSpan w:val="5"/>
          </w:tcPr>
          <w:p w14:paraId="0557D100" w14:textId="77777777" w:rsidR="0076063B" w:rsidRPr="001E7AFE" w:rsidRDefault="004D5838">
            <w:pPr>
              <w:keepNext/>
              <w:spacing w:after="60"/>
              <w:rPr>
                <w:color w:val="000000" w:themeColor="text1"/>
              </w:rPr>
            </w:pPr>
            <w:r w:rsidRPr="001E7AFE">
              <w:rPr>
                <w:rFonts w:ascii="Calibri" w:hAnsi="Calibri"/>
                <w:color w:val="000000" w:themeColor="text1"/>
                <w:sz w:val="20"/>
              </w:rPr>
              <w:t>AIC = 1212.13241401684</w:t>
            </w:r>
          </w:p>
        </w:tc>
      </w:tr>
      <w:tr w:rsidR="0076063B" w:rsidRPr="001E7AFE" w14:paraId="0557D103" w14:textId="77777777">
        <w:trPr>
          <w:cantSplit/>
          <w:jc w:val="center"/>
        </w:trPr>
        <w:tc>
          <w:tcPr>
            <w:tcW w:w="0" w:type="auto"/>
            <w:gridSpan w:val="5"/>
          </w:tcPr>
          <w:p w14:paraId="0557D102" w14:textId="77777777" w:rsidR="0076063B" w:rsidRPr="001E7AFE" w:rsidRDefault="004D5838">
            <w:pPr>
              <w:keepNext/>
              <w:spacing w:after="60"/>
              <w:rPr>
                <w:color w:val="000000" w:themeColor="text1"/>
              </w:rPr>
            </w:pPr>
            <w:r w:rsidRPr="001E7AFE">
              <w:rPr>
                <w:rFonts w:ascii="Calibri" w:hAnsi="Calibri"/>
                <w:color w:val="000000" w:themeColor="text1"/>
                <w:sz w:val="20"/>
              </w:rPr>
              <w:t>BIC = 1218.55138632252</w:t>
            </w:r>
          </w:p>
        </w:tc>
      </w:tr>
    </w:tbl>
    <w:tbl>
      <w:tblPr>
        <w:tblStyle w:val="Table"/>
        <w:tblW w:w="5000" w:type="pct"/>
        <w:tblLayout w:type="fixed"/>
        <w:tblLook w:val="0020" w:firstRow="1" w:lastRow="0" w:firstColumn="0" w:lastColumn="0" w:noHBand="0" w:noVBand="0"/>
      </w:tblPr>
      <w:tblGrid>
        <w:gridCol w:w="9360"/>
      </w:tblGrid>
      <w:tr w:rsidR="0076063B" w:rsidRPr="001E7AFE" w14:paraId="0557D107" w14:textId="77777777" w:rsidTr="001E7AFE">
        <w:trPr>
          <w:cnfStyle w:val="100000000000" w:firstRow="1" w:lastRow="0" w:firstColumn="0" w:lastColumn="0" w:oddVBand="0" w:evenVBand="0" w:oddHBand="0" w:evenHBand="0" w:firstRowFirstColumn="0" w:firstRowLastColumn="0" w:lastRowFirstColumn="0" w:lastRowLastColumn="0"/>
        </w:trPr>
        <w:tc>
          <w:tcPr>
            <w:tcW w:w="7920" w:type="dxa"/>
          </w:tcPr>
          <w:p w14:paraId="0557D106" w14:textId="77777777" w:rsidR="0076063B" w:rsidRPr="001E7AFE" w:rsidRDefault="004D5838">
            <w:pPr>
              <w:pStyle w:val="ImageCaption"/>
              <w:spacing w:before="200"/>
              <w:rPr>
                <w:color w:val="000000" w:themeColor="text1"/>
              </w:rPr>
            </w:pPr>
            <w:bookmarkStart w:id="31" w:name="tbl-km-Gaussian-ch1"/>
            <w:r w:rsidRPr="001E7AFE">
              <w:rPr>
                <w:color w:val="000000" w:themeColor="text1"/>
              </w:rPr>
              <w:t>Table 6: Survival model fit summary (Gaussian distribution)</w:t>
            </w:r>
          </w:p>
        </w:tc>
        <w:bookmarkEnd w:id="31"/>
      </w:tr>
    </w:tbl>
    <w:p w14:paraId="0557D108" w14:textId="77777777" w:rsidR="0076063B" w:rsidRPr="001E7AFE" w:rsidRDefault="004D5838">
      <w:pPr>
        <w:rPr>
          <w:color w:val="000000" w:themeColor="text1"/>
        </w:rPr>
      </w:pPr>
      <w:r w:rsidRPr="001E7AFE">
        <w:rPr>
          <w:color w:val="000000" w:themeColor="text1"/>
        </w:rPr>
        <w:br w:type="page"/>
      </w:r>
    </w:p>
    <w:p w14:paraId="0557D109" w14:textId="77777777" w:rsidR="0076063B" w:rsidRPr="001E7AFE" w:rsidRDefault="004D5838">
      <w:pPr>
        <w:pStyle w:val="Heading4"/>
        <w:rPr>
          <w:color w:val="000000" w:themeColor="text1"/>
        </w:rPr>
      </w:pPr>
      <w:bookmarkStart w:id="32" w:name="gamma"/>
      <w:bookmarkEnd w:id="29"/>
      <w:r w:rsidRPr="001E7AFE">
        <w:rPr>
          <w:color w:val="000000" w:themeColor="text1"/>
        </w:rPr>
        <w:lastRenderedPageBreak/>
        <w:t>Gamma</w:t>
      </w:r>
    </w:p>
    <w:tbl>
      <w:tblPr>
        <w:tblStyle w:val="Table"/>
        <w:tblW w:w="5000" w:type="pct"/>
        <w:tblLayout w:type="fixed"/>
        <w:tblLook w:val="0020" w:firstRow="1" w:lastRow="0" w:firstColumn="0" w:lastColumn="0" w:noHBand="0" w:noVBand="0"/>
      </w:tblPr>
      <w:tblGrid>
        <w:gridCol w:w="9360"/>
      </w:tblGrid>
      <w:tr w:rsidR="0076063B" w:rsidRPr="001E7AFE" w14:paraId="0557D10C" w14:textId="77777777" w:rsidTr="001E7AFE">
        <w:trPr>
          <w:cnfStyle w:val="100000000000" w:firstRow="1" w:lastRow="0" w:firstColumn="0" w:lastColumn="0" w:oddVBand="0" w:evenVBand="0" w:oddHBand="0" w:evenHBand="0" w:firstRowFirstColumn="0" w:firstRowLastColumn="0" w:lastRowFirstColumn="0" w:lastRowLastColumn="0"/>
        </w:trPr>
        <w:tc>
          <w:tcPr>
            <w:tcW w:w="7920" w:type="dxa"/>
          </w:tcPr>
          <w:p w14:paraId="0557D10A" w14:textId="77777777" w:rsidR="0076063B" w:rsidRPr="001E7AFE" w:rsidRDefault="004D5838">
            <w:pPr>
              <w:pStyle w:val="Compact"/>
              <w:jc w:val="center"/>
              <w:rPr>
                <w:color w:val="000000" w:themeColor="text1"/>
              </w:rPr>
            </w:pPr>
            <w:bookmarkStart w:id="33" w:name="fig-km-gamma-ch1"/>
            <w:r w:rsidRPr="001E7AFE">
              <w:rPr>
                <w:noProof/>
                <w:color w:val="000000" w:themeColor="text1"/>
              </w:rPr>
              <w:drawing>
                <wp:inline distT="0" distB="0" distL="0" distR="0" wp14:anchorId="0557D19B" wp14:editId="0557D19C">
                  <wp:extent cx="5943600" cy="3657600"/>
                  <wp:effectExtent l="0" t="0" r="0" b="0"/>
                  <wp:docPr id="77" name="Picture" title="A Kaplan-Meier plot showing overall survival over time for individuals who have received Psecond line treatment after trastuzumab, with an overlaid gamma model fit."/>
                  <wp:cNvGraphicFramePr/>
                  <a:graphic xmlns:a="http://schemas.openxmlformats.org/drawingml/2006/main">
                    <a:graphicData uri="http://schemas.openxmlformats.org/drawingml/2006/picture">
                      <pic:pic xmlns:pic="http://schemas.openxmlformats.org/drawingml/2006/picture">
                        <pic:nvPicPr>
                          <pic:cNvPr id="78" name="Picture" descr="ID6680_trastuzumab_deruxtecan_gastric_files/figure-docx/fig-km-gamma-ch1-1.png"/>
                          <pic:cNvPicPr>
                            <a:picLocks noChangeAspect="1" noChangeArrowheads="1"/>
                          </pic:cNvPicPr>
                        </pic:nvPicPr>
                        <pic:blipFill>
                          <a:blip r:embed="rId22"/>
                          <a:stretch>
                            <a:fillRect/>
                          </a:stretch>
                        </pic:blipFill>
                        <pic:spPr bwMode="auto">
                          <a:xfrm>
                            <a:off x="0" y="0"/>
                            <a:ext cx="5943600" cy="3657600"/>
                          </a:xfrm>
                          <a:prstGeom prst="rect">
                            <a:avLst/>
                          </a:prstGeom>
                          <a:noFill/>
                          <a:ln w="9525">
                            <a:noFill/>
                            <a:headEnd/>
                            <a:tailEnd/>
                          </a:ln>
                        </pic:spPr>
                      </pic:pic>
                    </a:graphicData>
                  </a:graphic>
                </wp:inline>
              </w:drawing>
            </w:r>
          </w:p>
          <w:p w14:paraId="0557D10B" w14:textId="77777777" w:rsidR="0076063B" w:rsidRPr="001E7AFE" w:rsidRDefault="004D5838">
            <w:pPr>
              <w:pStyle w:val="ImageCaption"/>
              <w:spacing w:before="200"/>
              <w:rPr>
                <w:color w:val="000000" w:themeColor="text1"/>
              </w:rPr>
            </w:pPr>
            <w:r w:rsidRPr="001E7AFE">
              <w:rPr>
                <w:color w:val="000000" w:themeColor="text1"/>
              </w:rPr>
              <w:t>Figure 8: Overall survival against gamma survival function</w:t>
            </w:r>
          </w:p>
        </w:tc>
        <w:bookmarkEnd w:id="33"/>
      </w:tr>
    </w:tbl>
    <w:p w14:paraId="0557D10D" w14:textId="77777777" w:rsidR="0076063B" w:rsidRPr="001E7AFE" w:rsidRDefault="0076063B">
      <w:pPr>
        <w:pStyle w:val="BodyText"/>
        <w:rPr>
          <w:color w:val="000000" w:themeColor="text1"/>
        </w:rPr>
      </w:pPr>
    </w:p>
    <w:tbl>
      <w:tblPr>
        <w:tblW w:w="0" w:type="auto"/>
        <w:jc w:val="center"/>
        <w:tblCellMar>
          <w:left w:w="60" w:type="dxa"/>
          <w:right w:w="60" w:type="dxa"/>
        </w:tblCellMar>
        <w:tblLook w:val="0000" w:firstRow="0" w:lastRow="0" w:firstColumn="0" w:lastColumn="0" w:noHBand="0" w:noVBand="0"/>
      </w:tblPr>
      <w:tblGrid>
        <w:gridCol w:w="981"/>
        <w:gridCol w:w="831"/>
        <w:gridCol w:w="892"/>
        <w:gridCol w:w="982"/>
        <w:gridCol w:w="982"/>
      </w:tblGrid>
      <w:tr w:rsidR="0076063B" w:rsidRPr="001E7AFE" w14:paraId="0557D113" w14:textId="77777777">
        <w:trPr>
          <w:cantSplit/>
          <w:tblHeader/>
          <w:jc w:val="center"/>
        </w:trPr>
        <w:tc>
          <w:tcPr>
            <w:tcW w:w="0" w:type="auto"/>
            <w:tcBorders>
              <w:top w:val="single" w:sz="16" w:space="0" w:color="D3D3D3"/>
              <w:left w:val="single" w:sz="0" w:space="0" w:color="D3D3D3"/>
              <w:bottom w:val="single" w:sz="16" w:space="0" w:color="D3D3D3"/>
            </w:tcBorders>
          </w:tcPr>
          <w:p w14:paraId="0557D10E" w14:textId="77777777" w:rsidR="0076063B" w:rsidRPr="001E7AFE" w:rsidRDefault="004D5838">
            <w:pPr>
              <w:keepNext/>
              <w:spacing w:after="60"/>
              <w:rPr>
                <w:color w:val="000000" w:themeColor="text1"/>
              </w:rPr>
            </w:pPr>
            <w:r w:rsidRPr="001E7AFE">
              <w:rPr>
                <w:rFonts w:ascii="Calibri" w:hAnsi="Calibri"/>
                <w:color w:val="000000" w:themeColor="text1"/>
                <w:sz w:val="20"/>
              </w:rPr>
              <w:t>Parameter</w:t>
            </w:r>
          </w:p>
        </w:tc>
        <w:tc>
          <w:tcPr>
            <w:tcW w:w="0" w:type="auto"/>
            <w:tcBorders>
              <w:top w:val="single" w:sz="16" w:space="0" w:color="D3D3D3"/>
              <w:bottom w:val="single" w:sz="16" w:space="0" w:color="D3D3D3"/>
            </w:tcBorders>
          </w:tcPr>
          <w:p w14:paraId="0557D10F"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Estimate</w:t>
            </w:r>
          </w:p>
        </w:tc>
        <w:tc>
          <w:tcPr>
            <w:tcW w:w="0" w:type="auto"/>
            <w:tcBorders>
              <w:top w:val="single" w:sz="16" w:space="0" w:color="D3D3D3"/>
              <w:bottom w:val="single" w:sz="16" w:space="0" w:color="D3D3D3"/>
            </w:tcBorders>
          </w:tcPr>
          <w:p w14:paraId="0557D110"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Std. Error</w:t>
            </w:r>
          </w:p>
        </w:tc>
        <w:tc>
          <w:tcPr>
            <w:tcW w:w="0" w:type="auto"/>
            <w:tcBorders>
              <w:top w:val="single" w:sz="16" w:space="0" w:color="D3D3D3"/>
              <w:bottom w:val="single" w:sz="16" w:space="0" w:color="D3D3D3"/>
            </w:tcBorders>
          </w:tcPr>
          <w:p w14:paraId="0557D111"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L95.</w:t>
            </w:r>
          </w:p>
        </w:tc>
        <w:tc>
          <w:tcPr>
            <w:tcW w:w="0" w:type="auto"/>
            <w:tcBorders>
              <w:top w:val="single" w:sz="16" w:space="0" w:color="D3D3D3"/>
              <w:bottom w:val="single" w:sz="16" w:space="0" w:color="D3D3D3"/>
              <w:right w:val="single" w:sz="0" w:space="0" w:color="D3D3D3"/>
            </w:tcBorders>
          </w:tcPr>
          <w:p w14:paraId="0557D112"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U95.</w:t>
            </w:r>
          </w:p>
        </w:tc>
      </w:tr>
      <w:tr w:rsidR="0076063B" w:rsidRPr="001E7AFE" w14:paraId="0557D119"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114" w14:textId="77777777" w:rsidR="0076063B" w:rsidRPr="001E7AFE" w:rsidRDefault="004D5838">
            <w:pPr>
              <w:keepNext/>
              <w:spacing w:after="60"/>
              <w:rPr>
                <w:color w:val="000000" w:themeColor="text1"/>
              </w:rPr>
            </w:pPr>
            <w:r w:rsidRPr="001E7AFE">
              <w:rPr>
                <w:rFonts w:ascii="Calibri" w:hAnsi="Calibri"/>
                <w:color w:val="000000" w:themeColor="text1"/>
                <w:sz w:val="20"/>
              </w:rPr>
              <w:t>shape</w:t>
            </w:r>
          </w:p>
        </w:tc>
        <w:tc>
          <w:tcPr>
            <w:tcW w:w="0" w:type="auto"/>
            <w:tcBorders>
              <w:top w:val="single" w:sz="0" w:space="0" w:color="D3D3D3"/>
              <w:left w:val="single" w:sz="0" w:space="0" w:color="D3D3D3"/>
              <w:bottom w:val="single" w:sz="0" w:space="0" w:color="D3D3D3"/>
              <w:right w:val="single" w:sz="0" w:space="0" w:color="D3D3D3"/>
            </w:tcBorders>
          </w:tcPr>
          <w:p w14:paraId="0557D115"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1.394</w:t>
            </w:r>
          </w:p>
        </w:tc>
        <w:tc>
          <w:tcPr>
            <w:tcW w:w="0" w:type="auto"/>
            <w:tcBorders>
              <w:top w:val="single" w:sz="0" w:space="0" w:color="D3D3D3"/>
              <w:left w:val="single" w:sz="0" w:space="0" w:color="D3D3D3"/>
              <w:bottom w:val="single" w:sz="0" w:space="0" w:color="D3D3D3"/>
              <w:right w:val="single" w:sz="0" w:space="0" w:color="D3D3D3"/>
            </w:tcBorders>
          </w:tcPr>
          <w:p w14:paraId="0557D116"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0.137</w:t>
            </w:r>
          </w:p>
        </w:tc>
        <w:tc>
          <w:tcPr>
            <w:tcW w:w="0" w:type="auto"/>
            <w:tcBorders>
              <w:top w:val="single" w:sz="0" w:space="0" w:color="D3D3D3"/>
              <w:left w:val="single" w:sz="0" w:space="0" w:color="D3D3D3"/>
              <w:bottom w:val="single" w:sz="0" w:space="0" w:color="D3D3D3"/>
              <w:right w:val="single" w:sz="0" w:space="0" w:color="D3D3D3"/>
            </w:tcBorders>
          </w:tcPr>
          <w:p w14:paraId="0557D117"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1.1498850</w:t>
            </w:r>
          </w:p>
        </w:tc>
        <w:tc>
          <w:tcPr>
            <w:tcW w:w="0" w:type="auto"/>
            <w:tcBorders>
              <w:top w:val="single" w:sz="0" w:space="0" w:color="D3D3D3"/>
              <w:left w:val="single" w:sz="0" w:space="0" w:color="D3D3D3"/>
              <w:bottom w:val="single" w:sz="0" w:space="0" w:color="D3D3D3"/>
              <w:right w:val="single" w:sz="0" w:space="0" w:color="D3D3D3"/>
            </w:tcBorders>
          </w:tcPr>
          <w:p w14:paraId="0557D118"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1.6908640</w:t>
            </w:r>
          </w:p>
        </w:tc>
      </w:tr>
      <w:tr w:rsidR="0076063B" w:rsidRPr="001E7AFE" w14:paraId="0557D11F"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11A" w14:textId="77777777" w:rsidR="0076063B" w:rsidRPr="001E7AFE" w:rsidRDefault="004D5838">
            <w:pPr>
              <w:keepNext/>
              <w:spacing w:after="60"/>
              <w:rPr>
                <w:color w:val="000000" w:themeColor="text1"/>
              </w:rPr>
            </w:pPr>
            <w:r w:rsidRPr="001E7AFE">
              <w:rPr>
                <w:rFonts w:ascii="Calibri" w:hAnsi="Calibri"/>
                <w:color w:val="000000" w:themeColor="text1"/>
                <w:sz w:val="20"/>
              </w:rPr>
              <w:t>rate</w:t>
            </w:r>
          </w:p>
        </w:tc>
        <w:tc>
          <w:tcPr>
            <w:tcW w:w="0" w:type="auto"/>
            <w:tcBorders>
              <w:top w:val="single" w:sz="0" w:space="0" w:color="D3D3D3"/>
              <w:left w:val="single" w:sz="0" w:space="0" w:color="D3D3D3"/>
              <w:bottom w:val="single" w:sz="0" w:space="0" w:color="D3D3D3"/>
              <w:right w:val="single" w:sz="0" w:space="0" w:color="D3D3D3"/>
            </w:tcBorders>
          </w:tcPr>
          <w:p w14:paraId="0557D11B"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0.163</w:t>
            </w:r>
          </w:p>
        </w:tc>
        <w:tc>
          <w:tcPr>
            <w:tcW w:w="0" w:type="auto"/>
            <w:tcBorders>
              <w:top w:val="single" w:sz="0" w:space="0" w:color="D3D3D3"/>
              <w:left w:val="single" w:sz="0" w:space="0" w:color="D3D3D3"/>
              <w:bottom w:val="single" w:sz="0" w:space="0" w:color="D3D3D3"/>
              <w:right w:val="single" w:sz="0" w:space="0" w:color="D3D3D3"/>
            </w:tcBorders>
          </w:tcPr>
          <w:p w14:paraId="0557D11C"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0.020</w:t>
            </w:r>
          </w:p>
        </w:tc>
        <w:tc>
          <w:tcPr>
            <w:tcW w:w="0" w:type="auto"/>
            <w:tcBorders>
              <w:top w:val="single" w:sz="0" w:space="0" w:color="D3D3D3"/>
              <w:left w:val="single" w:sz="0" w:space="0" w:color="D3D3D3"/>
              <w:bottom w:val="single" w:sz="0" w:space="0" w:color="D3D3D3"/>
              <w:right w:val="single" w:sz="0" w:space="0" w:color="D3D3D3"/>
            </w:tcBorders>
          </w:tcPr>
          <w:p w14:paraId="0557D11D"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0.1286957</w:t>
            </w:r>
          </w:p>
        </w:tc>
        <w:tc>
          <w:tcPr>
            <w:tcW w:w="0" w:type="auto"/>
            <w:tcBorders>
              <w:top w:val="single" w:sz="0" w:space="0" w:color="D3D3D3"/>
              <w:left w:val="single" w:sz="0" w:space="0" w:color="D3D3D3"/>
              <w:bottom w:val="single" w:sz="0" w:space="0" w:color="D3D3D3"/>
              <w:right w:val="single" w:sz="0" w:space="0" w:color="D3D3D3"/>
            </w:tcBorders>
          </w:tcPr>
          <w:p w14:paraId="0557D11E"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0.2072658</w:t>
            </w:r>
          </w:p>
        </w:tc>
      </w:tr>
      <w:tr w:rsidR="0076063B" w:rsidRPr="001E7AFE" w14:paraId="0557D121" w14:textId="77777777">
        <w:trPr>
          <w:cantSplit/>
          <w:jc w:val="center"/>
        </w:trPr>
        <w:tc>
          <w:tcPr>
            <w:tcW w:w="0" w:type="auto"/>
            <w:gridSpan w:val="5"/>
          </w:tcPr>
          <w:p w14:paraId="0557D120" w14:textId="77777777" w:rsidR="0076063B" w:rsidRPr="001E7AFE" w:rsidRDefault="004D5838">
            <w:pPr>
              <w:keepNext/>
              <w:spacing w:after="60"/>
              <w:rPr>
                <w:color w:val="000000" w:themeColor="text1"/>
              </w:rPr>
            </w:pPr>
            <w:r w:rsidRPr="001E7AFE">
              <w:rPr>
                <w:rFonts w:ascii="Calibri" w:hAnsi="Calibri"/>
                <w:color w:val="000000" w:themeColor="text1"/>
                <w:sz w:val="20"/>
              </w:rPr>
              <w:t>log-likelihood = -529.128446320623</w:t>
            </w:r>
          </w:p>
        </w:tc>
      </w:tr>
      <w:tr w:rsidR="0076063B" w:rsidRPr="001E7AFE" w14:paraId="0557D123" w14:textId="77777777">
        <w:trPr>
          <w:cantSplit/>
          <w:jc w:val="center"/>
        </w:trPr>
        <w:tc>
          <w:tcPr>
            <w:tcW w:w="0" w:type="auto"/>
            <w:gridSpan w:val="5"/>
          </w:tcPr>
          <w:p w14:paraId="0557D122" w14:textId="77777777" w:rsidR="0076063B" w:rsidRPr="001E7AFE" w:rsidRDefault="004D5838">
            <w:pPr>
              <w:keepNext/>
              <w:spacing w:after="60"/>
              <w:rPr>
                <w:color w:val="000000" w:themeColor="text1"/>
              </w:rPr>
            </w:pPr>
            <w:r w:rsidRPr="001E7AFE">
              <w:rPr>
                <w:rFonts w:ascii="Calibri" w:hAnsi="Calibri"/>
                <w:color w:val="000000" w:themeColor="text1"/>
                <w:sz w:val="20"/>
              </w:rPr>
              <w:t>AIC = 1062.25689264125</w:t>
            </w:r>
          </w:p>
        </w:tc>
      </w:tr>
      <w:tr w:rsidR="0076063B" w:rsidRPr="001E7AFE" w14:paraId="0557D125" w14:textId="77777777">
        <w:trPr>
          <w:cantSplit/>
          <w:jc w:val="center"/>
        </w:trPr>
        <w:tc>
          <w:tcPr>
            <w:tcW w:w="0" w:type="auto"/>
            <w:gridSpan w:val="5"/>
          </w:tcPr>
          <w:p w14:paraId="0557D124" w14:textId="77777777" w:rsidR="0076063B" w:rsidRPr="001E7AFE" w:rsidRDefault="004D5838">
            <w:pPr>
              <w:keepNext/>
              <w:spacing w:after="60"/>
              <w:rPr>
                <w:color w:val="000000" w:themeColor="text1"/>
              </w:rPr>
            </w:pPr>
            <w:r w:rsidRPr="001E7AFE">
              <w:rPr>
                <w:rFonts w:ascii="Calibri" w:hAnsi="Calibri"/>
                <w:color w:val="000000" w:themeColor="text1"/>
                <w:sz w:val="20"/>
              </w:rPr>
              <w:t>BIC = 1068.67586494693</w:t>
            </w:r>
          </w:p>
        </w:tc>
      </w:tr>
    </w:tbl>
    <w:tbl>
      <w:tblPr>
        <w:tblStyle w:val="Table"/>
        <w:tblW w:w="5000" w:type="pct"/>
        <w:tblLayout w:type="fixed"/>
        <w:tblLook w:val="0020" w:firstRow="1" w:lastRow="0" w:firstColumn="0" w:lastColumn="0" w:noHBand="0" w:noVBand="0"/>
      </w:tblPr>
      <w:tblGrid>
        <w:gridCol w:w="9360"/>
      </w:tblGrid>
      <w:tr w:rsidR="0076063B" w:rsidRPr="001E7AFE" w14:paraId="0557D129" w14:textId="77777777" w:rsidTr="001E7AFE">
        <w:trPr>
          <w:cnfStyle w:val="100000000000" w:firstRow="1" w:lastRow="0" w:firstColumn="0" w:lastColumn="0" w:oddVBand="0" w:evenVBand="0" w:oddHBand="0" w:evenHBand="0" w:firstRowFirstColumn="0" w:firstRowLastColumn="0" w:lastRowFirstColumn="0" w:lastRowLastColumn="0"/>
        </w:trPr>
        <w:tc>
          <w:tcPr>
            <w:tcW w:w="7920" w:type="dxa"/>
          </w:tcPr>
          <w:p w14:paraId="0557D128" w14:textId="77777777" w:rsidR="0076063B" w:rsidRPr="001E7AFE" w:rsidRDefault="004D5838">
            <w:pPr>
              <w:pStyle w:val="ImageCaption"/>
              <w:spacing w:before="200"/>
              <w:rPr>
                <w:color w:val="000000" w:themeColor="text1"/>
              </w:rPr>
            </w:pPr>
            <w:bookmarkStart w:id="34" w:name="tbl-km-gamma-ch1"/>
            <w:r w:rsidRPr="001E7AFE">
              <w:rPr>
                <w:color w:val="000000" w:themeColor="text1"/>
              </w:rPr>
              <w:t>Table 7: Survival model fit summary (gamma distribution)</w:t>
            </w:r>
          </w:p>
        </w:tc>
        <w:bookmarkEnd w:id="34"/>
      </w:tr>
    </w:tbl>
    <w:p w14:paraId="0557D12A" w14:textId="77777777" w:rsidR="0076063B" w:rsidRPr="001E7AFE" w:rsidRDefault="004D5838">
      <w:pPr>
        <w:rPr>
          <w:color w:val="000000" w:themeColor="text1"/>
        </w:rPr>
      </w:pPr>
      <w:r w:rsidRPr="001E7AFE">
        <w:rPr>
          <w:color w:val="000000" w:themeColor="text1"/>
        </w:rPr>
        <w:br w:type="page"/>
      </w:r>
    </w:p>
    <w:p w14:paraId="0557D12B" w14:textId="77777777" w:rsidR="0076063B" w:rsidRPr="001E7AFE" w:rsidRDefault="004D5838">
      <w:pPr>
        <w:pStyle w:val="Heading4"/>
        <w:rPr>
          <w:color w:val="000000" w:themeColor="text1"/>
        </w:rPr>
      </w:pPr>
      <w:bookmarkStart w:id="35" w:name="generalised-gamma"/>
      <w:bookmarkEnd w:id="32"/>
      <w:proofErr w:type="spellStart"/>
      <w:r w:rsidRPr="001E7AFE">
        <w:rPr>
          <w:color w:val="000000" w:themeColor="text1"/>
        </w:rPr>
        <w:lastRenderedPageBreak/>
        <w:t>Generalised</w:t>
      </w:r>
      <w:proofErr w:type="spellEnd"/>
      <w:r w:rsidRPr="001E7AFE">
        <w:rPr>
          <w:color w:val="000000" w:themeColor="text1"/>
        </w:rPr>
        <w:t xml:space="preserve"> gamma</w:t>
      </w:r>
    </w:p>
    <w:tbl>
      <w:tblPr>
        <w:tblStyle w:val="Table"/>
        <w:tblW w:w="5000" w:type="pct"/>
        <w:tblLayout w:type="fixed"/>
        <w:tblLook w:val="0020" w:firstRow="1" w:lastRow="0" w:firstColumn="0" w:lastColumn="0" w:noHBand="0" w:noVBand="0"/>
      </w:tblPr>
      <w:tblGrid>
        <w:gridCol w:w="9360"/>
      </w:tblGrid>
      <w:tr w:rsidR="0076063B" w:rsidRPr="001E7AFE" w14:paraId="0557D12E" w14:textId="77777777" w:rsidTr="001E7AFE">
        <w:trPr>
          <w:cnfStyle w:val="100000000000" w:firstRow="1" w:lastRow="0" w:firstColumn="0" w:lastColumn="0" w:oddVBand="0" w:evenVBand="0" w:oddHBand="0" w:evenHBand="0" w:firstRowFirstColumn="0" w:firstRowLastColumn="0" w:lastRowFirstColumn="0" w:lastRowLastColumn="0"/>
        </w:trPr>
        <w:tc>
          <w:tcPr>
            <w:tcW w:w="7920" w:type="dxa"/>
          </w:tcPr>
          <w:p w14:paraId="0557D12C" w14:textId="77777777" w:rsidR="0076063B" w:rsidRPr="001E7AFE" w:rsidRDefault="004D5838">
            <w:pPr>
              <w:pStyle w:val="Compact"/>
              <w:jc w:val="center"/>
              <w:rPr>
                <w:color w:val="000000" w:themeColor="text1"/>
              </w:rPr>
            </w:pPr>
            <w:bookmarkStart w:id="36" w:name="fig-km-gengamma-ch1"/>
            <w:r w:rsidRPr="001E7AFE">
              <w:rPr>
                <w:noProof/>
                <w:color w:val="000000" w:themeColor="text1"/>
              </w:rPr>
              <w:drawing>
                <wp:inline distT="0" distB="0" distL="0" distR="0" wp14:anchorId="0557D19D" wp14:editId="0557D19E">
                  <wp:extent cx="5943600" cy="3657600"/>
                  <wp:effectExtent l="0" t="0" r="0" b="0"/>
                  <wp:docPr id="83" name="Picture" title="A Kaplan-Meier plot showing overall survival over time for individuals who have received second line treatment after trastuzumab, with an overlaid generalised gamma model fit."/>
                  <wp:cNvGraphicFramePr/>
                  <a:graphic xmlns:a="http://schemas.openxmlformats.org/drawingml/2006/main">
                    <a:graphicData uri="http://schemas.openxmlformats.org/drawingml/2006/picture">
                      <pic:pic xmlns:pic="http://schemas.openxmlformats.org/drawingml/2006/picture">
                        <pic:nvPicPr>
                          <pic:cNvPr id="84" name="Picture" descr="ID6680_trastuzumab_deruxtecan_gastric_files/figure-docx/fig-km-gengamma-ch1-1.png"/>
                          <pic:cNvPicPr>
                            <a:picLocks noChangeAspect="1" noChangeArrowheads="1"/>
                          </pic:cNvPicPr>
                        </pic:nvPicPr>
                        <pic:blipFill>
                          <a:blip r:embed="rId23"/>
                          <a:stretch>
                            <a:fillRect/>
                          </a:stretch>
                        </pic:blipFill>
                        <pic:spPr bwMode="auto">
                          <a:xfrm>
                            <a:off x="0" y="0"/>
                            <a:ext cx="5943600" cy="3657600"/>
                          </a:xfrm>
                          <a:prstGeom prst="rect">
                            <a:avLst/>
                          </a:prstGeom>
                          <a:noFill/>
                          <a:ln w="9525">
                            <a:noFill/>
                            <a:headEnd/>
                            <a:tailEnd/>
                          </a:ln>
                        </pic:spPr>
                      </pic:pic>
                    </a:graphicData>
                  </a:graphic>
                </wp:inline>
              </w:drawing>
            </w:r>
          </w:p>
          <w:p w14:paraId="0557D12D" w14:textId="77777777" w:rsidR="0076063B" w:rsidRPr="001E7AFE" w:rsidRDefault="004D5838">
            <w:pPr>
              <w:pStyle w:val="ImageCaption"/>
              <w:spacing w:before="200"/>
              <w:rPr>
                <w:color w:val="000000" w:themeColor="text1"/>
              </w:rPr>
            </w:pPr>
            <w:r w:rsidRPr="001E7AFE">
              <w:rPr>
                <w:color w:val="000000" w:themeColor="text1"/>
              </w:rPr>
              <w:t xml:space="preserve">Figure 9: Overall survival against </w:t>
            </w:r>
            <w:proofErr w:type="spellStart"/>
            <w:r w:rsidRPr="001E7AFE">
              <w:rPr>
                <w:color w:val="000000" w:themeColor="text1"/>
              </w:rPr>
              <w:t>generalised</w:t>
            </w:r>
            <w:proofErr w:type="spellEnd"/>
            <w:r w:rsidRPr="001E7AFE">
              <w:rPr>
                <w:color w:val="000000" w:themeColor="text1"/>
              </w:rPr>
              <w:t xml:space="preserve"> gamma survival function</w:t>
            </w:r>
          </w:p>
        </w:tc>
        <w:bookmarkEnd w:id="36"/>
      </w:tr>
    </w:tbl>
    <w:p w14:paraId="0557D12F" w14:textId="77777777" w:rsidR="0076063B" w:rsidRPr="001E7AFE" w:rsidRDefault="0076063B">
      <w:pPr>
        <w:pStyle w:val="BodyText"/>
        <w:rPr>
          <w:color w:val="000000" w:themeColor="text1"/>
        </w:rPr>
      </w:pPr>
    </w:p>
    <w:tbl>
      <w:tblPr>
        <w:tblW w:w="0" w:type="auto"/>
        <w:jc w:val="center"/>
        <w:tblCellMar>
          <w:left w:w="60" w:type="dxa"/>
          <w:right w:w="60" w:type="dxa"/>
        </w:tblCellMar>
        <w:tblLook w:val="0000" w:firstRow="0" w:lastRow="0" w:firstColumn="0" w:lastColumn="0" w:noHBand="0" w:noVBand="0"/>
      </w:tblPr>
      <w:tblGrid>
        <w:gridCol w:w="981"/>
        <w:gridCol w:w="831"/>
        <w:gridCol w:w="892"/>
        <w:gridCol w:w="1043"/>
        <w:gridCol w:w="982"/>
      </w:tblGrid>
      <w:tr w:rsidR="0076063B" w:rsidRPr="001E7AFE" w14:paraId="0557D135" w14:textId="77777777">
        <w:trPr>
          <w:cantSplit/>
          <w:tblHeader/>
          <w:jc w:val="center"/>
        </w:trPr>
        <w:tc>
          <w:tcPr>
            <w:tcW w:w="0" w:type="auto"/>
            <w:tcBorders>
              <w:top w:val="single" w:sz="16" w:space="0" w:color="D3D3D3"/>
              <w:left w:val="single" w:sz="0" w:space="0" w:color="D3D3D3"/>
              <w:bottom w:val="single" w:sz="16" w:space="0" w:color="D3D3D3"/>
            </w:tcBorders>
          </w:tcPr>
          <w:p w14:paraId="0557D130" w14:textId="77777777" w:rsidR="0076063B" w:rsidRPr="001E7AFE" w:rsidRDefault="004D5838">
            <w:pPr>
              <w:keepNext/>
              <w:spacing w:after="60"/>
              <w:rPr>
                <w:color w:val="000000" w:themeColor="text1"/>
              </w:rPr>
            </w:pPr>
            <w:r w:rsidRPr="001E7AFE">
              <w:rPr>
                <w:rFonts w:ascii="Calibri" w:hAnsi="Calibri"/>
                <w:color w:val="000000" w:themeColor="text1"/>
                <w:sz w:val="20"/>
              </w:rPr>
              <w:t>Parameter</w:t>
            </w:r>
          </w:p>
        </w:tc>
        <w:tc>
          <w:tcPr>
            <w:tcW w:w="0" w:type="auto"/>
            <w:tcBorders>
              <w:top w:val="single" w:sz="16" w:space="0" w:color="D3D3D3"/>
              <w:bottom w:val="single" w:sz="16" w:space="0" w:color="D3D3D3"/>
            </w:tcBorders>
          </w:tcPr>
          <w:p w14:paraId="0557D131"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Estimate</w:t>
            </w:r>
          </w:p>
        </w:tc>
        <w:tc>
          <w:tcPr>
            <w:tcW w:w="0" w:type="auto"/>
            <w:tcBorders>
              <w:top w:val="single" w:sz="16" w:space="0" w:color="D3D3D3"/>
              <w:bottom w:val="single" w:sz="16" w:space="0" w:color="D3D3D3"/>
            </w:tcBorders>
          </w:tcPr>
          <w:p w14:paraId="0557D132"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Std. Error</w:t>
            </w:r>
          </w:p>
        </w:tc>
        <w:tc>
          <w:tcPr>
            <w:tcW w:w="0" w:type="auto"/>
            <w:tcBorders>
              <w:top w:val="single" w:sz="16" w:space="0" w:color="D3D3D3"/>
              <w:bottom w:val="single" w:sz="16" w:space="0" w:color="D3D3D3"/>
            </w:tcBorders>
          </w:tcPr>
          <w:p w14:paraId="0557D133"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L95.</w:t>
            </w:r>
          </w:p>
        </w:tc>
        <w:tc>
          <w:tcPr>
            <w:tcW w:w="0" w:type="auto"/>
            <w:tcBorders>
              <w:top w:val="single" w:sz="16" w:space="0" w:color="D3D3D3"/>
              <w:bottom w:val="single" w:sz="16" w:space="0" w:color="D3D3D3"/>
              <w:right w:val="single" w:sz="0" w:space="0" w:color="D3D3D3"/>
            </w:tcBorders>
          </w:tcPr>
          <w:p w14:paraId="0557D134"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U95.</w:t>
            </w:r>
          </w:p>
        </w:tc>
      </w:tr>
      <w:tr w:rsidR="0076063B" w:rsidRPr="001E7AFE" w14:paraId="0557D13B"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136" w14:textId="77777777" w:rsidR="0076063B" w:rsidRPr="001E7AFE" w:rsidRDefault="004D5838">
            <w:pPr>
              <w:keepNext/>
              <w:spacing w:after="60"/>
              <w:rPr>
                <w:color w:val="000000" w:themeColor="text1"/>
              </w:rPr>
            </w:pPr>
            <w:r w:rsidRPr="001E7AFE">
              <w:rPr>
                <w:rFonts w:ascii="Calibri" w:hAnsi="Calibri"/>
                <w:color w:val="000000" w:themeColor="text1"/>
                <w:sz w:val="20"/>
              </w:rPr>
              <w:t>mu</w:t>
            </w:r>
          </w:p>
        </w:tc>
        <w:tc>
          <w:tcPr>
            <w:tcW w:w="0" w:type="auto"/>
            <w:tcBorders>
              <w:top w:val="single" w:sz="0" w:space="0" w:color="D3D3D3"/>
              <w:left w:val="single" w:sz="0" w:space="0" w:color="D3D3D3"/>
              <w:bottom w:val="single" w:sz="0" w:space="0" w:color="D3D3D3"/>
              <w:right w:val="single" w:sz="0" w:space="0" w:color="D3D3D3"/>
            </w:tcBorders>
          </w:tcPr>
          <w:p w14:paraId="0557D137"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1.773</w:t>
            </w:r>
          </w:p>
        </w:tc>
        <w:tc>
          <w:tcPr>
            <w:tcW w:w="0" w:type="auto"/>
            <w:tcBorders>
              <w:top w:val="single" w:sz="0" w:space="0" w:color="D3D3D3"/>
              <w:left w:val="single" w:sz="0" w:space="0" w:color="D3D3D3"/>
              <w:bottom w:val="single" w:sz="0" w:space="0" w:color="D3D3D3"/>
              <w:right w:val="single" w:sz="0" w:space="0" w:color="D3D3D3"/>
            </w:tcBorders>
          </w:tcPr>
          <w:p w14:paraId="0557D138"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0.118</w:t>
            </w:r>
          </w:p>
        </w:tc>
        <w:tc>
          <w:tcPr>
            <w:tcW w:w="0" w:type="auto"/>
            <w:tcBorders>
              <w:top w:val="single" w:sz="0" w:space="0" w:color="D3D3D3"/>
              <w:left w:val="single" w:sz="0" w:space="0" w:color="D3D3D3"/>
              <w:bottom w:val="single" w:sz="0" w:space="0" w:color="D3D3D3"/>
              <w:right w:val="single" w:sz="0" w:space="0" w:color="D3D3D3"/>
            </w:tcBorders>
          </w:tcPr>
          <w:p w14:paraId="0557D139"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1.5419413</w:t>
            </w:r>
          </w:p>
        </w:tc>
        <w:tc>
          <w:tcPr>
            <w:tcW w:w="0" w:type="auto"/>
            <w:tcBorders>
              <w:top w:val="single" w:sz="0" w:space="0" w:color="D3D3D3"/>
              <w:left w:val="single" w:sz="0" w:space="0" w:color="D3D3D3"/>
              <w:bottom w:val="single" w:sz="0" w:space="0" w:color="D3D3D3"/>
              <w:right w:val="single" w:sz="0" w:space="0" w:color="D3D3D3"/>
            </w:tcBorders>
          </w:tcPr>
          <w:p w14:paraId="0557D13A"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2.0041809</w:t>
            </w:r>
          </w:p>
        </w:tc>
      </w:tr>
      <w:tr w:rsidR="0076063B" w:rsidRPr="001E7AFE" w14:paraId="0557D141"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13C" w14:textId="77777777" w:rsidR="0076063B" w:rsidRPr="001E7AFE" w:rsidRDefault="004D5838">
            <w:pPr>
              <w:keepNext/>
              <w:spacing w:after="60"/>
              <w:rPr>
                <w:color w:val="000000" w:themeColor="text1"/>
              </w:rPr>
            </w:pPr>
            <w:r w:rsidRPr="001E7AFE">
              <w:rPr>
                <w:rFonts w:ascii="Calibri" w:hAnsi="Calibri"/>
                <w:color w:val="000000" w:themeColor="text1"/>
                <w:sz w:val="20"/>
              </w:rPr>
              <w:t>sigma</w:t>
            </w:r>
          </w:p>
        </w:tc>
        <w:tc>
          <w:tcPr>
            <w:tcW w:w="0" w:type="auto"/>
            <w:tcBorders>
              <w:top w:val="single" w:sz="0" w:space="0" w:color="D3D3D3"/>
              <w:left w:val="single" w:sz="0" w:space="0" w:color="D3D3D3"/>
              <w:bottom w:val="single" w:sz="0" w:space="0" w:color="D3D3D3"/>
              <w:right w:val="single" w:sz="0" w:space="0" w:color="D3D3D3"/>
            </w:tcBorders>
          </w:tcPr>
          <w:p w14:paraId="0557D13D"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0.945</w:t>
            </w:r>
          </w:p>
        </w:tc>
        <w:tc>
          <w:tcPr>
            <w:tcW w:w="0" w:type="auto"/>
            <w:tcBorders>
              <w:top w:val="single" w:sz="0" w:space="0" w:color="D3D3D3"/>
              <w:left w:val="single" w:sz="0" w:space="0" w:color="D3D3D3"/>
              <w:bottom w:val="single" w:sz="0" w:space="0" w:color="D3D3D3"/>
              <w:right w:val="single" w:sz="0" w:space="0" w:color="D3D3D3"/>
            </w:tcBorders>
          </w:tcPr>
          <w:p w14:paraId="0557D13E"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0.054</w:t>
            </w:r>
          </w:p>
        </w:tc>
        <w:tc>
          <w:tcPr>
            <w:tcW w:w="0" w:type="auto"/>
            <w:tcBorders>
              <w:top w:val="single" w:sz="0" w:space="0" w:color="D3D3D3"/>
              <w:left w:val="single" w:sz="0" w:space="0" w:color="D3D3D3"/>
              <w:bottom w:val="single" w:sz="0" w:space="0" w:color="D3D3D3"/>
              <w:right w:val="single" w:sz="0" w:space="0" w:color="D3D3D3"/>
            </w:tcBorders>
          </w:tcPr>
          <w:p w14:paraId="0557D13F"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0.8453552</w:t>
            </w:r>
          </w:p>
        </w:tc>
        <w:tc>
          <w:tcPr>
            <w:tcW w:w="0" w:type="auto"/>
            <w:tcBorders>
              <w:top w:val="single" w:sz="0" w:space="0" w:color="D3D3D3"/>
              <w:left w:val="single" w:sz="0" w:space="0" w:color="D3D3D3"/>
              <w:bottom w:val="single" w:sz="0" w:space="0" w:color="D3D3D3"/>
              <w:right w:val="single" w:sz="0" w:space="0" w:color="D3D3D3"/>
            </w:tcBorders>
          </w:tcPr>
          <w:p w14:paraId="0557D140"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1.0561228</w:t>
            </w:r>
          </w:p>
        </w:tc>
      </w:tr>
      <w:tr w:rsidR="0076063B" w:rsidRPr="001E7AFE" w14:paraId="0557D147"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142" w14:textId="77777777" w:rsidR="0076063B" w:rsidRPr="001E7AFE" w:rsidRDefault="004D5838">
            <w:pPr>
              <w:keepNext/>
              <w:spacing w:after="60"/>
              <w:rPr>
                <w:color w:val="000000" w:themeColor="text1"/>
              </w:rPr>
            </w:pPr>
            <w:r w:rsidRPr="001E7AFE">
              <w:rPr>
                <w:rFonts w:ascii="Calibri" w:hAnsi="Calibri"/>
                <w:color w:val="000000" w:themeColor="text1"/>
                <w:sz w:val="20"/>
              </w:rPr>
              <w:t>Q</w:t>
            </w:r>
          </w:p>
        </w:tc>
        <w:tc>
          <w:tcPr>
            <w:tcW w:w="0" w:type="auto"/>
            <w:tcBorders>
              <w:top w:val="single" w:sz="0" w:space="0" w:color="D3D3D3"/>
              <w:left w:val="single" w:sz="0" w:space="0" w:color="D3D3D3"/>
              <w:bottom w:val="single" w:sz="0" w:space="0" w:color="D3D3D3"/>
              <w:right w:val="single" w:sz="0" w:space="0" w:color="D3D3D3"/>
            </w:tcBorders>
          </w:tcPr>
          <w:p w14:paraId="0557D143"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0.035</w:t>
            </w:r>
          </w:p>
        </w:tc>
        <w:tc>
          <w:tcPr>
            <w:tcW w:w="0" w:type="auto"/>
            <w:tcBorders>
              <w:top w:val="single" w:sz="0" w:space="0" w:color="D3D3D3"/>
              <w:left w:val="single" w:sz="0" w:space="0" w:color="D3D3D3"/>
              <w:bottom w:val="single" w:sz="0" w:space="0" w:color="D3D3D3"/>
              <w:right w:val="single" w:sz="0" w:space="0" w:color="D3D3D3"/>
            </w:tcBorders>
          </w:tcPr>
          <w:p w14:paraId="0557D144"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0.210</w:t>
            </w:r>
          </w:p>
        </w:tc>
        <w:tc>
          <w:tcPr>
            <w:tcW w:w="0" w:type="auto"/>
            <w:tcBorders>
              <w:top w:val="single" w:sz="0" w:space="0" w:color="D3D3D3"/>
              <w:left w:val="single" w:sz="0" w:space="0" w:color="D3D3D3"/>
              <w:bottom w:val="single" w:sz="0" w:space="0" w:color="D3D3D3"/>
              <w:right w:val="single" w:sz="0" w:space="0" w:color="D3D3D3"/>
            </w:tcBorders>
          </w:tcPr>
          <w:p w14:paraId="0557D145"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-0.3764649</w:t>
            </w:r>
          </w:p>
        </w:tc>
        <w:tc>
          <w:tcPr>
            <w:tcW w:w="0" w:type="auto"/>
            <w:tcBorders>
              <w:top w:val="single" w:sz="0" w:space="0" w:color="D3D3D3"/>
              <w:left w:val="single" w:sz="0" w:space="0" w:color="D3D3D3"/>
              <w:bottom w:val="single" w:sz="0" w:space="0" w:color="D3D3D3"/>
              <w:right w:val="single" w:sz="0" w:space="0" w:color="D3D3D3"/>
            </w:tcBorders>
          </w:tcPr>
          <w:p w14:paraId="0557D146"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0.4464527</w:t>
            </w:r>
          </w:p>
        </w:tc>
      </w:tr>
      <w:tr w:rsidR="0076063B" w:rsidRPr="001E7AFE" w14:paraId="0557D149" w14:textId="77777777">
        <w:trPr>
          <w:cantSplit/>
          <w:jc w:val="center"/>
        </w:trPr>
        <w:tc>
          <w:tcPr>
            <w:tcW w:w="0" w:type="auto"/>
            <w:gridSpan w:val="5"/>
          </w:tcPr>
          <w:p w14:paraId="0557D148" w14:textId="77777777" w:rsidR="0076063B" w:rsidRPr="001E7AFE" w:rsidRDefault="004D5838">
            <w:pPr>
              <w:keepNext/>
              <w:spacing w:after="60"/>
              <w:rPr>
                <w:color w:val="000000" w:themeColor="text1"/>
              </w:rPr>
            </w:pPr>
            <w:r w:rsidRPr="001E7AFE">
              <w:rPr>
                <w:rFonts w:ascii="Calibri" w:hAnsi="Calibri"/>
                <w:color w:val="000000" w:themeColor="text1"/>
                <w:sz w:val="20"/>
              </w:rPr>
              <w:t>log-likelihood = -521.286945813809</w:t>
            </w:r>
          </w:p>
        </w:tc>
      </w:tr>
      <w:tr w:rsidR="0076063B" w:rsidRPr="001E7AFE" w14:paraId="0557D14B" w14:textId="77777777">
        <w:trPr>
          <w:cantSplit/>
          <w:jc w:val="center"/>
        </w:trPr>
        <w:tc>
          <w:tcPr>
            <w:tcW w:w="0" w:type="auto"/>
            <w:gridSpan w:val="5"/>
          </w:tcPr>
          <w:p w14:paraId="0557D14A" w14:textId="77777777" w:rsidR="0076063B" w:rsidRPr="001E7AFE" w:rsidRDefault="004D5838">
            <w:pPr>
              <w:keepNext/>
              <w:spacing w:after="60"/>
              <w:rPr>
                <w:color w:val="000000" w:themeColor="text1"/>
              </w:rPr>
            </w:pPr>
            <w:r w:rsidRPr="001E7AFE">
              <w:rPr>
                <w:rFonts w:ascii="Calibri" w:hAnsi="Calibri"/>
                <w:color w:val="000000" w:themeColor="text1"/>
                <w:sz w:val="20"/>
              </w:rPr>
              <w:t>AIC = 1048.57389162762</w:t>
            </w:r>
          </w:p>
        </w:tc>
      </w:tr>
      <w:tr w:rsidR="0076063B" w:rsidRPr="001E7AFE" w14:paraId="0557D14D" w14:textId="77777777">
        <w:trPr>
          <w:cantSplit/>
          <w:jc w:val="center"/>
        </w:trPr>
        <w:tc>
          <w:tcPr>
            <w:tcW w:w="0" w:type="auto"/>
            <w:gridSpan w:val="5"/>
          </w:tcPr>
          <w:p w14:paraId="0557D14C" w14:textId="77777777" w:rsidR="0076063B" w:rsidRPr="001E7AFE" w:rsidRDefault="004D5838">
            <w:pPr>
              <w:keepNext/>
              <w:spacing w:after="60"/>
              <w:rPr>
                <w:color w:val="000000" w:themeColor="text1"/>
              </w:rPr>
            </w:pPr>
            <w:r w:rsidRPr="001E7AFE">
              <w:rPr>
                <w:rFonts w:ascii="Calibri" w:hAnsi="Calibri"/>
                <w:color w:val="000000" w:themeColor="text1"/>
                <w:sz w:val="20"/>
              </w:rPr>
              <w:t>BIC = 1058.20235008614</w:t>
            </w:r>
          </w:p>
        </w:tc>
      </w:tr>
    </w:tbl>
    <w:tbl>
      <w:tblPr>
        <w:tblStyle w:val="Table"/>
        <w:tblW w:w="5000" w:type="pct"/>
        <w:tblLayout w:type="fixed"/>
        <w:tblLook w:val="0020" w:firstRow="1" w:lastRow="0" w:firstColumn="0" w:lastColumn="0" w:noHBand="0" w:noVBand="0"/>
      </w:tblPr>
      <w:tblGrid>
        <w:gridCol w:w="9360"/>
      </w:tblGrid>
      <w:tr w:rsidR="0076063B" w:rsidRPr="001E7AFE" w14:paraId="0557D151" w14:textId="77777777" w:rsidTr="001E7AFE">
        <w:trPr>
          <w:cnfStyle w:val="100000000000" w:firstRow="1" w:lastRow="0" w:firstColumn="0" w:lastColumn="0" w:oddVBand="0" w:evenVBand="0" w:oddHBand="0" w:evenHBand="0" w:firstRowFirstColumn="0" w:firstRowLastColumn="0" w:lastRowFirstColumn="0" w:lastRowLastColumn="0"/>
        </w:trPr>
        <w:tc>
          <w:tcPr>
            <w:tcW w:w="7920" w:type="dxa"/>
          </w:tcPr>
          <w:p w14:paraId="0557D150" w14:textId="77777777" w:rsidR="0076063B" w:rsidRPr="001E7AFE" w:rsidRDefault="004D5838">
            <w:pPr>
              <w:pStyle w:val="ImageCaption"/>
              <w:spacing w:before="200"/>
              <w:rPr>
                <w:color w:val="000000" w:themeColor="text1"/>
              </w:rPr>
            </w:pPr>
            <w:bookmarkStart w:id="37" w:name="tbl-km-gengamma-ch1"/>
            <w:r w:rsidRPr="001E7AFE">
              <w:rPr>
                <w:color w:val="000000" w:themeColor="text1"/>
              </w:rPr>
              <w:t>Table 8: Survival model fit summary (</w:t>
            </w:r>
            <w:proofErr w:type="spellStart"/>
            <w:r w:rsidRPr="001E7AFE">
              <w:rPr>
                <w:color w:val="000000" w:themeColor="text1"/>
              </w:rPr>
              <w:t>generalised</w:t>
            </w:r>
            <w:proofErr w:type="spellEnd"/>
            <w:r w:rsidRPr="001E7AFE">
              <w:rPr>
                <w:color w:val="000000" w:themeColor="text1"/>
              </w:rPr>
              <w:t xml:space="preserve"> gamma distribution)</w:t>
            </w:r>
          </w:p>
        </w:tc>
        <w:bookmarkEnd w:id="37"/>
      </w:tr>
    </w:tbl>
    <w:p w14:paraId="0557D152" w14:textId="77777777" w:rsidR="0076063B" w:rsidRPr="001E7AFE" w:rsidRDefault="004D5838">
      <w:pPr>
        <w:rPr>
          <w:color w:val="000000" w:themeColor="text1"/>
        </w:rPr>
      </w:pPr>
      <w:r w:rsidRPr="001E7AFE">
        <w:rPr>
          <w:color w:val="000000" w:themeColor="text1"/>
        </w:rPr>
        <w:br w:type="page"/>
      </w:r>
    </w:p>
    <w:p w14:paraId="0557D153" w14:textId="77777777" w:rsidR="0076063B" w:rsidRPr="001E7AFE" w:rsidRDefault="004D5838">
      <w:pPr>
        <w:pStyle w:val="Heading4"/>
        <w:rPr>
          <w:color w:val="000000" w:themeColor="text1"/>
        </w:rPr>
      </w:pPr>
      <w:bookmarkStart w:id="38" w:name="gompertz"/>
      <w:bookmarkEnd w:id="35"/>
      <w:r w:rsidRPr="001E7AFE">
        <w:rPr>
          <w:color w:val="000000" w:themeColor="text1"/>
        </w:rPr>
        <w:lastRenderedPageBreak/>
        <w:t>Gompertz</w:t>
      </w:r>
    </w:p>
    <w:tbl>
      <w:tblPr>
        <w:tblStyle w:val="Table"/>
        <w:tblW w:w="5000" w:type="pct"/>
        <w:tblLayout w:type="fixed"/>
        <w:tblLook w:val="0020" w:firstRow="1" w:lastRow="0" w:firstColumn="0" w:lastColumn="0" w:noHBand="0" w:noVBand="0"/>
      </w:tblPr>
      <w:tblGrid>
        <w:gridCol w:w="9360"/>
      </w:tblGrid>
      <w:tr w:rsidR="0076063B" w:rsidRPr="001E7AFE" w14:paraId="0557D156" w14:textId="77777777" w:rsidTr="001E7AFE">
        <w:trPr>
          <w:cnfStyle w:val="100000000000" w:firstRow="1" w:lastRow="0" w:firstColumn="0" w:lastColumn="0" w:oddVBand="0" w:evenVBand="0" w:oddHBand="0" w:evenHBand="0" w:firstRowFirstColumn="0" w:firstRowLastColumn="0" w:lastRowFirstColumn="0" w:lastRowLastColumn="0"/>
        </w:trPr>
        <w:tc>
          <w:tcPr>
            <w:tcW w:w="7920" w:type="dxa"/>
          </w:tcPr>
          <w:p w14:paraId="0557D154" w14:textId="77777777" w:rsidR="0076063B" w:rsidRPr="001E7AFE" w:rsidRDefault="004D5838">
            <w:pPr>
              <w:pStyle w:val="Compact"/>
              <w:jc w:val="center"/>
              <w:rPr>
                <w:color w:val="000000" w:themeColor="text1"/>
              </w:rPr>
            </w:pPr>
            <w:bookmarkStart w:id="39" w:name="fig-km-gompertz-ch1"/>
            <w:r w:rsidRPr="001E7AFE">
              <w:rPr>
                <w:noProof/>
                <w:color w:val="000000" w:themeColor="text1"/>
              </w:rPr>
              <w:drawing>
                <wp:inline distT="0" distB="0" distL="0" distR="0" wp14:anchorId="0557D19F" wp14:editId="0557D1A0">
                  <wp:extent cx="5943600" cy="3657600"/>
                  <wp:effectExtent l="0" t="0" r="0" b="0"/>
                  <wp:docPr id="89" name="Picture" title="A Kaplan-Meier plot showing overall survival over time for individuals who have received second line treatment after trastuzumab, with an overlaid Gompertz model fit."/>
                  <wp:cNvGraphicFramePr/>
                  <a:graphic xmlns:a="http://schemas.openxmlformats.org/drawingml/2006/main">
                    <a:graphicData uri="http://schemas.openxmlformats.org/drawingml/2006/picture">
                      <pic:pic xmlns:pic="http://schemas.openxmlformats.org/drawingml/2006/picture">
                        <pic:nvPicPr>
                          <pic:cNvPr id="90" name="Picture" descr="ID6680_trastuzumab_deruxtecan_gastric_files/figure-docx/fig-km-gompertz-ch1-1.png"/>
                          <pic:cNvPicPr>
                            <a:picLocks noChangeAspect="1" noChangeArrowheads="1"/>
                          </pic:cNvPicPr>
                        </pic:nvPicPr>
                        <pic:blipFill>
                          <a:blip r:embed="rId24"/>
                          <a:stretch>
                            <a:fillRect/>
                          </a:stretch>
                        </pic:blipFill>
                        <pic:spPr bwMode="auto">
                          <a:xfrm>
                            <a:off x="0" y="0"/>
                            <a:ext cx="5943600" cy="3657600"/>
                          </a:xfrm>
                          <a:prstGeom prst="rect">
                            <a:avLst/>
                          </a:prstGeom>
                          <a:noFill/>
                          <a:ln w="9525">
                            <a:noFill/>
                            <a:headEnd/>
                            <a:tailEnd/>
                          </a:ln>
                        </pic:spPr>
                      </pic:pic>
                    </a:graphicData>
                  </a:graphic>
                </wp:inline>
              </w:drawing>
            </w:r>
          </w:p>
          <w:p w14:paraId="0557D155" w14:textId="77777777" w:rsidR="0076063B" w:rsidRPr="001E7AFE" w:rsidRDefault="004D5838">
            <w:pPr>
              <w:pStyle w:val="ImageCaption"/>
              <w:spacing w:before="200"/>
              <w:rPr>
                <w:color w:val="000000" w:themeColor="text1"/>
              </w:rPr>
            </w:pPr>
            <w:r w:rsidRPr="001E7AFE">
              <w:rPr>
                <w:color w:val="000000" w:themeColor="text1"/>
              </w:rPr>
              <w:t>Figure 10: Overall survival against Gompertz survival function</w:t>
            </w:r>
          </w:p>
        </w:tc>
        <w:bookmarkEnd w:id="39"/>
      </w:tr>
    </w:tbl>
    <w:p w14:paraId="0557D157" w14:textId="77777777" w:rsidR="0076063B" w:rsidRPr="001E7AFE" w:rsidRDefault="0076063B">
      <w:pPr>
        <w:pStyle w:val="BodyText"/>
        <w:rPr>
          <w:color w:val="000000" w:themeColor="text1"/>
        </w:rPr>
      </w:pPr>
    </w:p>
    <w:tbl>
      <w:tblPr>
        <w:tblW w:w="0" w:type="auto"/>
        <w:jc w:val="center"/>
        <w:tblCellMar>
          <w:left w:w="60" w:type="dxa"/>
          <w:right w:w="60" w:type="dxa"/>
        </w:tblCellMar>
        <w:tblLook w:val="0000" w:firstRow="0" w:lastRow="0" w:firstColumn="0" w:lastColumn="0" w:noHBand="0" w:noVBand="0"/>
      </w:tblPr>
      <w:tblGrid>
        <w:gridCol w:w="981"/>
        <w:gridCol w:w="831"/>
        <w:gridCol w:w="892"/>
        <w:gridCol w:w="1145"/>
        <w:gridCol w:w="1083"/>
      </w:tblGrid>
      <w:tr w:rsidR="0076063B" w:rsidRPr="001E7AFE" w14:paraId="0557D15D" w14:textId="77777777">
        <w:trPr>
          <w:cantSplit/>
          <w:tblHeader/>
          <w:jc w:val="center"/>
        </w:trPr>
        <w:tc>
          <w:tcPr>
            <w:tcW w:w="0" w:type="auto"/>
            <w:tcBorders>
              <w:top w:val="single" w:sz="16" w:space="0" w:color="D3D3D3"/>
              <w:left w:val="single" w:sz="0" w:space="0" w:color="D3D3D3"/>
              <w:bottom w:val="single" w:sz="16" w:space="0" w:color="D3D3D3"/>
            </w:tcBorders>
          </w:tcPr>
          <w:p w14:paraId="0557D158" w14:textId="77777777" w:rsidR="0076063B" w:rsidRPr="001E7AFE" w:rsidRDefault="004D5838">
            <w:pPr>
              <w:keepNext/>
              <w:spacing w:after="60"/>
              <w:rPr>
                <w:color w:val="000000" w:themeColor="text1"/>
              </w:rPr>
            </w:pPr>
            <w:r w:rsidRPr="001E7AFE">
              <w:rPr>
                <w:rFonts w:ascii="Calibri" w:hAnsi="Calibri"/>
                <w:color w:val="000000" w:themeColor="text1"/>
                <w:sz w:val="20"/>
              </w:rPr>
              <w:t>Parameter</w:t>
            </w:r>
          </w:p>
        </w:tc>
        <w:tc>
          <w:tcPr>
            <w:tcW w:w="0" w:type="auto"/>
            <w:tcBorders>
              <w:top w:val="single" w:sz="16" w:space="0" w:color="D3D3D3"/>
              <w:bottom w:val="single" w:sz="16" w:space="0" w:color="D3D3D3"/>
            </w:tcBorders>
          </w:tcPr>
          <w:p w14:paraId="0557D159"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Estimate</w:t>
            </w:r>
          </w:p>
        </w:tc>
        <w:tc>
          <w:tcPr>
            <w:tcW w:w="0" w:type="auto"/>
            <w:tcBorders>
              <w:top w:val="single" w:sz="16" w:space="0" w:color="D3D3D3"/>
              <w:bottom w:val="single" w:sz="16" w:space="0" w:color="D3D3D3"/>
            </w:tcBorders>
          </w:tcPr>
          <w:p w14:paraId="0557D15A"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Std. Error</w:t>
            </w:r>
          </w:p>
        </w:tc>
        <w:tc>
          <w:tcPr>
            <w:tcW w:w="0" w:type="auto"/>
            <w:tcBorders>
              <w:top w:val="single" w:sz="16" w:space="0" w:color="D3D3D3"/>
              <w:bottom w:val="single" w:sz="16" w:space="0" w:color="D3D3D3"/>
            </w:tcBorders>
          </w:tcPr>
          <w:p w14:paraId="0557D15B"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L95.</w:t>
            </w:r>
          </w:p>
        </w:tc>
        <w:tc>
          <w:tcPr>
            <w:tcW w:w="0" w:type="auto"/>
            <w:tcBorders>
              <w:top w:val="single" w:sz="16" w:space="0" w:color="D3D3D3"/>
              <w:bottom w:val="single" w:sz="16" w:space="0" w:color="D3D3D3"/>
              <w:right w:val="single" w:sz="0" w:space="0" w:color="D3D3D3"/>
            </w:tcBorders>
          </w:tcPr>
          <w:p w14:paraId="0557D15C"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U95.</w:t>
            </w:r>
          </w:p>
        </w:tc>
      </w:tr>
      <w:tr w:rsidR="0076063B" w:rsidRPr="001E7AFE" w14:paraId="0557D163"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15E" w14:textId="77777777" w:rsidR="0076063B" w:rsidRPr="001E7AFE" w:rsidRDefault="004D5838">
            <w:pPr>
              <w:keepNext/>
              <w:spacing w:after="60"/>
              <w:rPr>
                <w:color w:val="000000" w:themeColor="text1"/>
              </w:rPr>
            </w:pPr>
            <w:r w:rsidRPr="001E7AFE">
              <w:rPr>
                <w:rFonts w:ascii="Calibri" w:hAnsi="Calibri"/>
                <w:color w:val="000000" w:themeColor="text1"/>
                <w:sz w:val="20"/>
              </w:rPr>
              <w:t>shape</w:t>
            </w:r>
          </w:p>
        </w:tc>
        <w:tc>
          <w:tcPr>
            <w:tcW w:w="0" w:type="auto"/>
            <w:tcBorders>
              <w:top w:val="single" w:sz="0" w:space="0" w:color="D3D3D3"/>
              <w:left w:val="single" w:sz="0" w:space="0" w:color="D3D3D3"/>
              <w:bottom w:val="single" w:sz="0" w:space="0" w:color="D3D3D3"/>
              <w:right w:val="single" w:sz="0" w:space="0" w:color="D3D3D3"/>
            </w:tcBorders>
          </w:tcPr>
          <w:p w14:paraId="0557D15F"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-0.006</w:t>
            </w:r>
          </w:p>
        </w:tc>
        <w:tc>
          <w:tcPr>
            <w:tcW w:w="0" w:type="auto"/>
            <w:tcBorders>
              <w:top w:val="single" w:sz="0" w:space="0" w:color="D3D3D3"/>
              <w:left w:val="single" w:sz="0" w:space="0" w:color="D3D3D3"/>
              <w:bottom w:val="single" w:sz="0" w:space="0" w:color="D3D3D3"/>
              <w:right w:val="single" w:sz="0" w:space="0" w:color="D3D3D3"/>
            </w:tcBorders>
          </w:tcPr>
          <w:p w14:paraId="0557D160"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0.010</w:t>
            </w:r>
          </w:p>
        </w:tc>
        <w:tc>
          <w:tcPr>
            <w:tcW w:w="0" w:type="auto"/>
            <w:tcBorders>
              <w:top w:val="single" w:sz="0" w:space="0" w:color="D3D3D3"/>
              <w:left w:val="single" w:sz="0" w:space="0" w:color="D3D3D3"/>
              <w:bottom w:val="single" w:sz="0" w:space="0" w:color="D3D3D3"/>
              <w:right w:val="single" w:sz="0" w:space="0" w:color="D3D3D3"/>
            </w:tcBorders>
          </w:tcPr>
          <w:p w14:paraId="0557D161"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-0.02590593</w:t>
            </w:r>
          </w:p>
        </w:tc>
        <w:tc>
          <w:tcPr>
            <w:tcW w:w="0" w:type="auto"/>
            <w:tcBorders>
              <w:top w:val="single" w:sz="0" w:space="0" w:color="D3D3D3"/>
              <w:left w:val="single" w:sz="0" w:space="0" w:color="D3D3D3"/>
              <w:bottom w:val="single" w:sz="0" w:space="0" w:color="D3D3D3"/>
              <w:right w:val="single" w:sz="0" w:space="0" w:color="D3D3D3"/>
            </w:tcBorders>
          </w:tcPr>
          <w:p w14:paraId="0557D162"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0.01439164</w:t>
            </w:r>
          </w:p>
        </w:tc>
      </w:tr>
      <w:tr w:rsidR="0076063B" w:rsidRPr="001E7AFE" w14:paraId="0557D169"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164" w14:textId="77777777" w:rsidR="0076063B" w:rsidRPr="001E7AFE" w:rsidRDefault="004D5838">
            <w:pPr>
              <w:keepNext/>
              <w:spacing w:after="60"/>
              <w:rPr>
                <w:color w:val="000000" w:themeColor="text1"/>
              </w:rPr>
            </w:pPr>
            <w:r w:rsidRPr="001E7AFE">
              <w:rPr>
                <w:rFonts w:ascii="Calibri" w:hAnsi="Calibri"/>
                <w:color w:val="000000" w:themeColor="text1"/>
                <w:sz w:val="20"/>
              </w:rPr>
              <w:t>rate</w:t>
            </w:r>
          </w:p>
        </w:tc>
        <w:tc>
          <w:tcPr>
            <w:tcW w:w="0" w:type="auto"/>
            <w:tcBorders>
              <w:top w:val="single" w:sz="0" w:space="0" w:color="D3D3D3"/>
              <w:left w:val="single" w:sz="0" w:space="0" w:color="D3D3D3"/>
              <w:bottom w:val="single" w:sz="0" w:space="0" w:color="D3D3D3"/>
              <w:right w:val="single" w:sz="0" w:space="0" w:color="D3D3D3"/>
            </w:tcBorders>
          </w:tcPr>
          <w:p w14:paraId="0557D165"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0.120</w:t>
            </w:r>
          </w:p>
        </w:tc>
        <w:tc>
          <w:tcPr>
            <w:tcW w:w="0" w:type="auto"/>
            <w:tcBorders>
              <w:top w:val="single" w:sz="0" w:space="0" w:color="D3D3D3"/>
              <w:left w:val="single" w:sz="0" w:space="0" w:color="D3D3D3"/>
              <w:bottom w:val="single" w:sz="0" w:space="0" w:color="D3D3D3"/>
              <w:right w:val="single" w:sz="0" w:space="0" w:color="D3D3D3"/>
            </w:tcBorders>
          </w:tcPr>
          <w:p w14:paraId="0557D166"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0.013</w:t>
            </w:r>
          </w:p>
        </w:tc>
        <w:tc>
          <w:tcPr>
            <w:tcW w:w="0" w:type="auto"/>
            <w:tcBorders>
              <w:top w:val="single" w:sz="0" w:space="0" w:color="D3D3D3"/>
              <w:left w:val="single" w:sz="0" w:space="0" w:color="D3D3D3"/>
              <w:bottom w:val="single" w:sz="0" w:space="0" w:color="D3D3D3"/>
              <w:right w:val="single" w:sz="0" w:space="0" w:color="D3D3D3"/>
            </w:tcBorders>
          </w:tcPr>
          <w:p w14:paraId="0557D167"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0.09753604</w:t>
            </w:r>
          </w:p>
        </w:tc>
        <w:tc>
          <w:tcPr>
            <w:tcW w:w="0" w:type="auto"/>
            <w:tcBorders>
              <w:top w:val="single" w:sz="0" w:space="0" w:color="D3D3D3"/>
              <w:left w:val="single" w:sz="0" w:space="0" w:color="D3D3D3"/>
              <w:bottom w:val="single" w:sz="0" w:space="0" w:color="D3D3D3"/>
              <w:right w:val="single" w:sz="0" w:space="0" w:color="D3D3D3"/>
            </w:tcBorders>
          </w:tcPr>
          <w:p w14:paraId="0557D168" w14:textId="77777777" w:rsidR="0076063B" w:rsidRPr="001E7AFE" w:rsidRDefault="004D5838">
            <w:pPr>
              <w:keepNext/>
              <w:spacing w:after="60"/>
              <w:jc w:val="right"/>
              <w:rPr>
                <w:color w:val="000000" w:themeColor="text1"/>
              </w:rPr>
            </w:pPr>
            <w:r w:rsidRPr="001E7AFE">
              <w:rPr>
                <w:rFonts w:ascii="Calibri" w:hAnsi="Calibri"/>
                <w:color w:val="000000" w:themeColor="text1"/>
                <w:sz w:val="20"/>
              </w:rPr>
              <w:t>0.14760646</w:t>
            </w:r>
          </w:p>
        </w:tc>
      </w:tr>
      <w:tr w:rsidR="0076063B" w:rsidRPr="001E7AFE" w14:paraId="0557D16B" w14:textId="77777777">
        <w:trPr>
          <w:cantSplit/>
          <w:jc w:val="center"/>
        </w:trPr>
        <w:tc>
          <w:tcPr>
            <w:tcW w:w="0" w:type="auto"/>
            <w:gridSpan w:val="5"/>
          </w:tcPr>
          <w:p w14:paraId="0557D16A" w14:textId="77777777" w:rsidR="0076063B" w:rsidRPr="001E7AFE" w:rsidRDefault="004D5838">
            <w:pPr>
              <w:keepNext/>
              <w:spacing w:after="60"/>
              <w:rPr>
                <w:color w:val="000000" w:themeColor="text1"/>
              </w:rPr>
            </w:pPr>
            <w:r w:rsidRPr="001E7AFE">
              <w:rPr>
                <w:rFonts w:ascii="Calibri" w:hAnsi="Calibri"/>
                <w:color w:val="000000" w:themeColor="text1"/>
                <w:sz w:val="20"/>
              </w:rPr>
              <w:t>log-likelihood = -534.203194856289</w:t>
            </w:r>
          </w:p>
        </w:tc>
      </w:tr>
      <w:tr w:rsidR="0076063B" w:rsidRPr="001E7AFE" w14:paraId="0557D16D" w14:textId="77777777">
        <w:trPr>
          <w:cantSplit/>
          <w:jc w:val="center"/>
        </w:trPr>
        <w:tc>
          <w:tcPr>
            <w:tcW w:w="0" w:type="auto"/>
            <w:gridSpan w:val="5"/>
          </w:tcPr>
          <w:p w14:paraId="0557D16C" w14:textId="77777777" w:rsidR="0076063B" w:rsidRPr="001E7AFE" w:rsidRDefault="004D5838">
            <w:pPr>
              <w:keepNext/>
              <w:spacing w:after="60"/>
              <w:rPr>
                <w:color w:val="000000" w:themeColor="text1"/>
              </w:rPr>
            </w:pPr>
            <w:r w:rsidRPr="001E7AFE">
              <w:rPr>
                <w:rFonts w:ascii="Calibri" w:hAnsi="Calibri"/>
                <w:color w:val="000000" w:themeColor="text1"/>
                <w:sz w:val="20"/>
              </w:rPr>
              <w:t>AIC = 1072.40638971258</w:t>
            </w:r>
          </w:p>
        </w:tc>
      </w:tr>
      <w:tr w:rsidR="0076063B" w:rsidRPr="001E7AFE" w14:paraId="0557D16F" w14:textId="77777777">
        <w:trPr>
          <w:cantSplit/>
          <w:jc w:val="center"/>
        </w:trPr>
        <w:tc>
          <w:tcPr>
            <w:tcW w:w="0" w:type="auto"/>
            <w:gridSpan w:val="5"/>
          </w:tcPr>
          <w:p w14:paraId="0557D16E" w14:textId="77777777" w:rsidR="0076063B" w:rsidRPr="001E7AFE" w:rsidRDefault="004D5838">
            <w:pPr>
              <w:keepNext/>
              <w:spacing w:after="60"/>
              <w:rPr>
                <w:color w:val="000000" w:themeColor="text1"/>
              </w:rPr>
            </w:pPr>
            <w:r w:rsidRPr="001E7AFE">
              <w:rPr>
                <w:rFonts w:ascii="Calibri" w:hAnsi="Calibri"/>
                <w:color w:val="000000" w:themeColor="text1"/>
                <w:sz w:val="20"/>
              </w:rPr>
              <w:t>BIC = 1078.82536201826</w:t>
            </w:r>
          </w:p>
        </w:tc>
      </w:tr>
    </w:tbl>
    <w:tbl>
      <w:tblPr>
        <w:tblStyle w:val="Table"/>
        <w:tblW w:w="5000" w:type="pct"/>
        <w:tblLayout w:type="fixed"/>
        <w:tblLook w:val="0020" w:firstRow="1" w:lastRow="0" w:firstColumn="0" w:lastColumn="0" w:noHBand="0" w:noVBand="0"/>
      </w:tblPr>
      <w:tblGrid>
        <w:gridCol w:w="9360"/>
      </w:tblGrid>
      <w:tr w:rsidR="0076063B" w:rsidRPr="001E7AFE" w14:paraId="0557D173" w14:textId="77777777" w:rsidTr="001E7AFE">
        <w:trPr>
          <w:cnfStyle w:val="100000000000" w:firstRow="1" w:lastRow="0" w:firstColumn="0" w:lastColumn="0" w:oddVBand="0" w:evenVBand="0" w:oddHBand="0" w:evenHBand="0" w:firstRowFirstColumn="0" w:firstRowLastColumn="0" w:lastRowFirstColumn="0" w:lastRowLastColumn="0"/>
        </w:trPr>
        <w:tc>
          <w:tcPr>
            <w:tcW w:w="7920" w:type="dxa"/>
          </w:tcPr>
          <w:p w14:paraId="0557D172" w14:textId="77777777" w:rsidR="0076063B" w:rsidRPr="001E7AFE" w:rsidRDefault="004D5838">
            <w:pPr>
              <w:pStyle w:val="ImageCaption"/>
              <w:spacing w:before="200"/>
              <w:rPr>
                <w:color w:val="000000" w:themeColor="text1"/>
              </w:rPr>
            </w:pPr>
            <w:bookmarkStart w:id="40" w:name="tbl-km-Gompertz-ch1"/>
            <w:r w:rsidRPr="001E7AFE">
              <w:rPr>
                <w:color w:val="000000" w:themeColor="text1"/>
              </w:rPr>
              <w:t>Table 9: Survival model fit summary (Gompertz distribution)</w:t>
            </w:r>
          </w:p>
        </w:tc>
        <w:bookmarkEnd w:id="40"/>
      </w:tr>
    </w:tbl>
    <w:p w14:paraId="67DDEA1F" w14:textId="77777777" w:rsidR="00EC6BB5" w:rsidRPr="001E7AFE" w:rsidRDefault="00EC6BB5">
      <w:pPr>
        <w:pStyle w:val="Heading3"/>
        <w:rPr>
          <w:color w:val="000000" w:themeColor="text1"/>
        </w:rPr>
      </w:pPr>
      <w:bookmarkStart w:id="41" w:name="second-line-treatment-counts"/>
      <w:bookmarkEnd w:id="14"/>
      <w:bookmarkEnd w:id="38"/>
    </w:p>
    <w:p w14:paraId="02CE8DEA" w14:textId="77777777" w:rsidR="00EC6BB5" w:rsidRPr="001E7AFE" w:rsidRDefault="00EC6BB5">
      <w:pPr>
        <w:pStyle w:val="Heading3"/>
        <w:rPr>
          <w:color w:val="000000" w:themeColor="text1"/>
        </w:rPr>
      </w:pPr>
    </w:p>
    <w:p w14:paraId="76E01AD7" w14:textId="77777777" w:rsidR="00EC6BB5" w:rsidRPr="001E7AFE" w:rsidRDefault="00EC6BB5">
      <w:pPr>
        <w:rPr>
          <w:rFonts w:asciiTheme="majorHAnsi" w:eastAsiaTheme="majorEastAsia" w:hAnsiTheme="majorHAnsi" w:cstheme="majorBidi"/>
          <w:b/>
          <w:bCs/>
          <w:color w:val="000000" w:themeColor="text1"/>
        </w:rPr>
      </w:pPr>
      <w:r w:rsidRPr="001E7AFE">
        <w:rPr>
          <w:color w:val="000000" w:themeColor="text1"/>
        </w:rPr>
        <w:br w:type="page"/>
      </w:r>
    </w:p>
    <w:p w14:paraId="0557D174" w14:textId="4926F70A" w:rsidR="0076063B" w:rsidRPr="001E7AFE" w:rsidRDefault="004D5838">
      <w:pPr>
        <w:pStyle w:val="Heading3"/>
        <w:rPr>
          <w:color w:val="000000" w:themeColor="text1"/>
        </w:rPr>
      </w:pPr>
      <w:r w:rsidRPr="001E7AFE">
        <w:rPr>
          <w:color w:val="000000" w:themeColor="text1"/>
        </w:rPr>
        <w:lastRenderedPageBreak/>
        <w:t>Second line treatment counts</w:t>
      </w:r>
    </w:p>
    <w:p w14:paraId="0557D175" w14:textId="763EA2A5" w:rsidR="0076063B" w:rsidRPr="001E7AFE" w:rsidRDefault="004D5838">
      <w:pPr>
        <w:pStyle w:val="FirstParagraph"/>
        <w:rPr>
          <w:color w:val="000000" w:themeColor="text1"/>
        </w:rPr>
      </w:pPr>
      <w:r w:rsidRPr="001E7AFE">
        <w:rPr>
          <w:color w:val="000000" w:themeColor="text1"/>
        </w:rPr>
        <w:t>The table below sets out the observed counts of each</w:t>
      </w:r>
      <w:r w:rsidR="004A4886" w:rsidRPr="001E7AFE">
        <w:rPr>
          <w:color w:val="000000" w:themeColor="text1"/>
        </w:rPr>
        <w:t xml:space="preserve"> inferred</w:t>
      </w:r>
      <w:r w:rsidRPr="001E7AFE">
        <w:rPr>
          <w:color w:val="000000" w:themeColor="text1"/>
        </w:rPr>
        <w:t xml:space="preserve"> second line treatment.</w:t>
      </w:r>
    </w:p>
    <w:p w14:paraId="0CBB8D72" w14:textId="77777777" w:rsidR="00EC6BB5" w:rsidRPr="001E7AFE" w:rsidRDefault="00EC6BB5" w:rsidP="00EC6BB5">
      <w:pPr>
        <w:pStyle w:val="BodyText"/>
        <w:rPr>
          <w:color w:val="000000" w:themeColor="text1"/>
        </w:rPr>
      </w:pPr>
    </w:p>
    <w:tbl>
      <w:tblPr>
        <w:tblW w:w="0" w:type="auto"/>
        <w:jc w:val="center"/>
        <w:tblCellMar>
          <w:left w:w="60" w:type="dxa"/>
          <w:right w:w="60" w:type="dxa"/>
        </w:tblCellMar>
        <w:tblLook w:val="0000" w:firstRow="0" w:lastRow="0" w:firstColumn="0" w:lastColumn="0" w:noHBand="0" w:noVBand="0"/>
      </w:tblPr>
      <w:tblGrid>
        <w:gridCol w:w="2763"/>
        <w:gridCol w:w="835"/>
      </w:tblGrid>
      <w:tr w:rsidR="0076063B" w:rsidRPr="001E7AFE" w14:paraId="0557D178" w14:textId="77777777">
        <w:trPr>
          <w:cantSplit/>
          <w:tblHeader/>
          <w:jc w:val="center"/>
        </w:trPr>
        <w:tc>
          <w:tcPr>
            <w:tcW w:w="0" w:type="auto"/>
            <w:tcBorders>
              <w:top w:val="single" w:sz="16" w:space="0" w:color="D3D3D3"/>
              <w:left w:val="single" w:sz="0" w:space="0" w:color="D3D3D3"/>
              <w:bottom w:val="single" w:sz="16" w:space="0" w:color="D3D3D3"/>
            </w:tcBorders>
          </w:tcPr>
          <w:p w14:paraId="0557D176" w14:textId="77777777" w:rsidR="0076063B" w:rsidRPr="001E7AFE" w:rsidRDefault="004D5838">
            <w:pPr>
              <w:keepNext/>
              <w:spacing w:after="60"/>
              <w:rPr>
                <w:color w:val="000000" w:themeColor="text1"/>
              </w:rPr>
            </w:pPr>
            <w:r w:rsidRPr="001E7AFE">
              <w:rPr>
                <w:rFonts w:ascii="Calibri" w:hAnsi="Calibri"/>
                <w:b/>
                <w:color w:val="000000" w:themeColor="text1"/>
                <w:sz w:val="20"/>
              </w:rPr>
              <w:t>Second Line Treatment</w:t>
            </w:r>
          </w:p>
        </w:tc>
        <w:tc>
          <w:tcPr>
            <w:tcW w:w="0" w:type="auto"/>
            <w:tcBorders>
              <w:top w:val="single" w:sz="16" w:space="0" w:color="D3D3D3"/>
              <w:bottom w:val="single" w:sz="16" w:space="0" w:color="D3D3D3"/>
              <w:right w:val="single" w:sz="0" w:space="0" w:color="D3D3D3"/>
            </w:tcBorders>
          </w:tcPr>
          <w:p w14:paraId="0557D177" w14:textId="77777777" w:rsidR="0076063B" w:rsidRPr="001E7AFE" w:rsidRDefault="004D5838">
            <w:pPr>
              <w:keepNext/>
              <w:spacing w:after="60"/>
              <w:jc w:val="center"/>
              <w:rPr>
                <w:color w:val="000000" w:themeColor="text1"/>
              </w:rPr>
            </w:pPr>
            <w:r w:rsidRPr="001E7AFE">
              <w:rPr>
                <w:rFonts w:ascii="Calibri" w:hAnsi="Calibri"/>
                <w:b/>
                <w:color w:val="000000" w:themeColor="text1"/>
                <w:sz w:val="20"/>
              </w:rPr>
              <w:t>N = 183</w:t>
            </w:r>
            <w:r w:rsidRPr="001E7AFE">
              <w:rPr>
                <w:rFonts w:ascii="Calibri" w:hAnsi="Calibri"/>
                <w:i/>
                <w:color w:val="000000" w:themeColor="text1"/>
                <w:sz w:val="20"/>
                <w:vertAlign w:val="superscript"/>
              </w:rPr>
              <w:t>1</w:t>
            </w:r>
          </w:p>
        </w:tc>
      </w:tr>
      <w:tr w:rsidR="0076063B" w:rsidRPr="001E7AFE" w14:paraId="0557D17B"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179" w14:textId="77777777" w:rsidR="0076063B" w:rsidRPr="001E7AFE" w:rsidRDefault="004D5838">
            <w:pPr>
              <w:keepNext/>
              <w:spacing w:after="60"/>
              <w:rPr>
                <w:color w:val="000000" w:themeColor="text1"/>
              </w:rPr>
            </w:pPr>
            <w:r w:rsidRPr="001E7AFE">
              <w:rPr>
                <w:rFonts w:ascii="Calibri" w:hAnsi="Calibri"/>
                <w:color w:val="000000" w:themeColor="text1"/>
                <w:sz w:val="20"/>
              </w:rPr>
              <w:t>    PACLITAXEL</w:t>
            </w:r>
          </w:p>
        </w:tc>
        <w:tc>
          <w:tcPr>
            <w:tcW w:w="0" w:type="auto"/>
            <w:tcBorders>
              <w:top w:val="single" w:sz="0" w:space="0" w:color="D3D3D3"/>
              <w:left w:val="single" w:sz="0" w:space="0" w:color="D3D3D3"/>
              <w:bottom w:val="single" w:sz="0" w:space="0" w:color="D3D3D3"/>
              <w:right w:val="single" w:sz="0" w:space="0" w:color="D3D3D3"/>
            </w:tcBorders>
          </w:tcPr>
          <w:p w14:paraId="0557D17A" w14:textId="77777777" w:rsidR="0076063B" w:rsidRPr="001E7AFE" w:rsidRDefault="004D5838">
            <w:pPr>
              <w:keepNext/>
              <w:spacing w:after="60"/>
              <w:jc w:val="center"/>
              <w:rPr>
                <w:color w:val="000000" w:themeColor="text1"/>
              </w:rPr>
            </w:pPr>
            <w:r w:rsidRPr="001E7AFE">
              <w:rPr>
                <w:rFonts w:ascii="Calibri" w:hAnsi="Calibri"/>
                <w:color w:val="000000" w:themeColor="text1"/>
                <w:sz w:val="20"/>
              </w:rPr>
              <w:t>81 (44%)</w:t>
            </w:r>
          </w:p>
        </w:tc>
      </w:tr>
      <w:tr w:rsidR="0076063B" w:rsidRPr="001E7AFE" w14:paraId="0557D17E"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17C" w14:textId="77777777" w:rsidR="0076063B" w:rsidRPr="001E7AFE" w:rsidRDefault="004D5838">
            <w:pPr>
              <w:keepNext/>
              <w:spacing w:after="60"/>
              <w:rPr>
                <w:color w:val="000000" w:themeColor="text1"/>
              </w:rPr>
            </w:pPr>
            <w:r w:rsidRPr="001E7AFE">
              <w:rPr>
                <w:rFonts w:ascii="Calibri" w:hAnsi="Calibri"/>
                <w:color w:val="000000" w:themeColor="text1"/>
                <w:sz w:val="20"/>
              </w:rPr>
              <w:t>    DOCETAXEL</w:t>
            </w:r>
          </w:p>
        </w:tc>
        <w:tc>
          <w:tcPr>
            <w:tcW w:w="0" w:type="auto"/>
            <w:tcBorders>
              <w:top w:val="single" w:sz="0" w:space="0" w:color="D3D3D3"/>
              <w:left w:val="single" w:sz="0" w:space="0" w:color="D3D3D3"/>
              <w:bottom w:val="single" w:sz="0" w:space="0" w:color="D3D3D3"/>
              <w:right w:val="single" w:sz="0" w:space="0" w:color="D3D3D3"/>
            </w:tcBorders>
          </w:tcPr>
          <w:p w14:paraId="0557D17D" w14:textId="77777777" w:rsidR="0076063B" w:rsidRPr="001E7AFE" w:rsidRDefault="004D5838">
            <w:pPr>
              <w:keepNext/>
              <w:spacing w:after="60"/>
              <w:jc w:val="center"/>
              <w:rPr>
                <w:color w:val="000000" w:themeColor="text1"/>
              </w:rPr>
            </w:pPr>
            <w:r w:rsidRPr="001E7AFE">
              <w:rPr>
                <w:rFonts w:ascii="Calibri" w:hAnsi="Calibri"/>
                <w:color w:val="000000" w:themeColor="text1"/>
                <w:sz w:val="20"/>
              </w:rPr>
              <w:t>61 (33%)</w:t>
            </w:r>
          </w:p>
        </w:tc>
      </w:tr>
      <w:tr w:rsidR="0076063B" w:rsidRPr="001E7AFE" w14:paraId="0557D181"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17F" w14:textId="77777777" w:rsidR="0076063B" w:rsidRPr="001E7AFE" w:rsidRDefault="004D5838">
            <w:pPr>
              <w:keepNext/>
              <w:spacing w:after="60"/>
              <w:rPr>
                <w:color w:val="000000" w:themeColor="text1"/>
              </w:rPr>
            </w:pPr>
            <w:r w:rsidRPr="001E7AFE">
              <w:rPr>
                <w:rFonts w:ascii="Calibri" w:hAnsi="Calibri"/>
                <w:color w:val="000000" w:themeColor="text1"/>
                <w:sz w:val="20"/>
              </w:rPr>
              <w:t>    FOLFIRI</w:t>
            </w:r>
          </w:p>
        </w:tc>
        <w:tc>
          <w:tcPr>
            <w:tcW w:w="0" w:type="auto"/>
            <w:tcBorders>
              <w:top w:val="single" w:sz="0" w:space="0" w:color="D3D3D3"/>
              <w:left w:val="single" w:sz="0" w:space="0" w:color="D3D3D3"/>
              <w:bottom w:val="single" w:sz="0" w:space="0" w:color="D3D3D3"/>
              <w:right w:val="single" w:sz="0" w:space="0" w:color="D3D3D3"/>
            </w:tcBorders>
          </w:tcPr>
          <w:p w14:paraId="0557D180" w14:textId="77777777" w:rsidR="0076063B" w:rsidRPr="001E7AFE" w:rsidRDefault="004D5838">
            <w:pPr>
              <w:keepNext/>
              <w:spacing w:after="60"/>
              <w:jc w:val="center"/>
              <w:rPr>
                <w:color w:val="000000" w:themeColor="text1"/>
              </w:rPr>
            </w:pPr>
            <w:r w:rsidRPr="001E7AFE">
              <w:rPr>
                <w:rFonts w:ascii="Calibri" w:hAnsi="Calibri"/>
                <w:color w:val="000000" w:themeColor="text1"/>
                <w:sz w:val="20"/>
              </w:rPr>
              <w:t>20 (11%)</w:t>
            </w:r>
          </w:p>
        </w:tc>
      </w:tr>
      <w:tr w:rsidR="0076063B" w:rsidRPr="001E7AFE" w14:paraId="0557D184"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182" w14:textId="77777777" w:rsidR="0076063B" w:rsidRPr="001E7AFE" w:rsidRDefault="004D5838">
            <w:pPr>
              <w:keepNext/>
              <w:spacing w:after="60"/>
              <w:rPr>
                <w:color w:val="000000" w:themeColor="text1"/>
              </w:rPr>
            </w:pPr>
            <w:r w:rsidRPr="001E7AFE">
              <w:rPr>
                <w:rFonts w:ascii="Calibri" w:hAnsi="Calibri"/>
                <w:color w:val="000000" w:themeColor="text1"/>
                <w:sz w:val="20"/>
              </w:rPr>
              <w:t>    IRINOTECAN</w:t>
            </w:r>
          </w:p>
        </w:tc>
        <w:tc>
          <w:tcPr>
            <w:tcW w:w="0" w:type="auto"/>
            <w:tcBorders>
              <w:top w:val="single" w:sz="0" w:space="0" w:color="D3D3D3"/>
              <w:left w:val="single" w:sz="0" w:space="0" w:color="D3D3D3"/>
              <w:bottom w:val="single" w:sz="0" w:space="0" w:color="D3D3D3"/>
              <w:right w:val="single" w:sz="0" w:space="0" w:color="D3D3D3"/>
            </w:tcBorders>
          </w:tcPr>
          <w:p w14:paraId="0557D183" w14:textId="77777777" w:rsidR="0076063B" w:rsidRPr="001E7AFE" w:rsidRDefault="004D5838">
            <w:pPr>
              <w:keepNext/>
              <w:spacing w:after="60"/>
              <w:jc w:val="center"/>
              <w:rPr>
                <w:color w:val="000000" w:themeColor="text1"/>
              </w:rPr>
            </w:pPr>
            <w:r w:rsidRPr="001E7AFE">
              <w:rPr>
                <w:rFonts w:ascii="Calibri" w:hAnsi="Calibri"/>
                <w:color w:val="000000" w:themeColor="text1"/>
                <w:sz w:val="20"/>
              </w:rPr>
              <w:t>9 (4.9%)</w:t>
            </w:r>
          </w:p>
        </w:tc>
      </w:tr>
      <w:tr w:rsidR="0076063B" w:rsidRPr="001E7AFE" w14:paraId="0557D187"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185" w14:textId="77777777" w:rsidR="0076063B" w:rsidRPr="001E7AFE" w:rsidRDefault="004D5838">
            <w:pPr>
              <w:keepNext/>
              <w:spacing w:after="60"/>
              <w:rPr>
                <w:color w:val="000000" w:themeColor="text1"/>
              </w:rPr>
            </w:pPr>
            <w:r w:rsidRPr="001E7AFE">
              <w:rPr>
                <w:rFonts w:ascii="Calibri" w:hAnsi="Calibri"/>
                <w:color w:val="000000" w:themeColor="text1"/>
                <w:sz w:val="20"/>
              </w:rPr>
              <w:t>    PACLITAXEL + RAMUCIRUMAB</w:t>
            </w:r>
          </w:p>
        </w:tc>
        <w:tc>
          <w:tcPr>
            <w:tcW w:w="0" w:type="auto"/>
            <w:tcBorders>
              <w:top w:val="single" w:sz="0" w:space="0" w:color="D3D3D3"/>
              <w:left w:val="single" w:sz="0" w:space="0" w:color="D3D3D3"/>
              <w:bottom w:val="single" w:sz="0" w:space="0" w:color="D3D3D3"/>
              <w:right w:val="single" w:sz="0" w:space="0" w:color="D3D3D3"/>
            </w:tcBorders>
          </w:tcPr>
          <w:p w14:paraId="0557D186" w14:textId="77777777" w:rsidR="0076063B" w:rsidRPr="001E7AFE" w:rsidRDefault="004D5838">
            <w:pPr>
              <w:keepNext/>
              <w:spacing w:after="60"/>
              <w:jc w:val="center"/>
              <w:rPr>
                <w:color w:val="000000" w:themeColor="text1"/>
              </w:rPr>
            </w:pPr>
            <w:r w:rsidRPr="001E7AFE">
              <w:rPr>
                <w:rFonts w:ascii="Calibri" w:hAnsi="Calibri"/>
                <w:color w:val="000000" w:themeColor="text1"/>
                <w:sz w:val="20"/>
              </w:rPr>
              <w:t>4 (2.2%)</w:t>
            </w:r>
          </w:p>
        </w:tc>
      </w:tr>
      <w:tr w:rsidR="0076063B" w:rsidRPr="001E7AFE" w14:paraId="0557D18A"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57D188" w14:textId="77777777" w:rsidR="0076063B" w:rsidRPr="001E7AFE" w:rsidRDefault="004D5838">
            <w:pPr>
              <w:keepNext/>
              <w:spacing w:after="60"/>
              <w:rPr>
                <w:color w:val="000000" w:themeColor="text1"/>
              </w:rPr>
            </w:pPr>
            <w:r w:rsidRPr="001E7AFE">
              <w:rPr>
                <w:rFonts w:ascii="Calibri" w:hAnsi="Calibri"/>
                <w:color w:val="000000" w:themeColor="text1"/>
                <w:sz w:val="20"/>
              </w:rPr>
              <w:t>    OTHER</w:t>
            </w:r>
          </w:p>
        </w:tc>
        <w:tc>
          <w:tcPr>
            <w:tcW w:w="0" w:type="auto"/>
            <w:tcBorders>
              <w:top w:val="single" w:sz="0" w:space="0" w:color="D3D3D3"/>
              <w:left w:val="single" w:sz="0" w:space="0" w:color="D3D3D3"/>
              <w:bottom w:val="single" w:sz="0" w:space="0" w:color="D3D3D3"/>
              <w:right w:val="single" w:sz="0" w:space="0" w:color="D3D3D3"/>
            </w:tcBorders>
          </w:tcPr>
          <w:p w14:paraId="0557D189" w14:textId="77777777" w:rsidR="0076063B" w:rsidRPr="001E7AFE" w:rsidRDefault="004D5838">
            <w:pPr>
              <w:keepNext/>
              <w:spacing w:after="60"/>
              <w:jc w:val="center"/>
              <w:rPr>
                <w:color w:val="000000" w:themeColor="text1"/>
              </w:rPr>
            </w:pPr>
            <w:r w:rsidRPr="001E7AFE">
              <w:rPr>
                <w:rFonts w:ascii="Calibri" w:hAnsi="Calibri"/>
                <w:color w:val="000000" w:themeColor="text1"/>
                <w:sz w:val="20"/>
              </w:rPr>
              <w:t>8 (4.4%)</w:t>
            </w:r>
          </w:p>
        </w:tc>
      </w:tr>
      <w:tr w:rsidR="0076063B" w:rsidRPr="001E7AFE" w14:paraId="0557D18C" w14:textId="77777777">
        <w:trPr>
          <w:cantSplit/>
          <w:jc w:val="center"/>
        </w:trPr>
        <w:tc>
          <w:tcPr>
            <w:tcW w:w="0" w:type="auto"/>
            <w:gridSpan w:val="2"/>
          </w:tcPr>
          <w:p w14:paraId="0557D18B" w14:textId="77777777" w:rsidR="0076063B" w:rsidRPr="001E7AFE" w:rsidRDefault="004D5838">
            <w:pPr>
              <w:keepNext/>
              <w:spacing w:after="60"/>
              <w:rPr>
                <w:color w:val="000000" w:themeColor="text1"/>
              </w:rPr>
            </w:pPr>
            <w:r w:rsidRPr="001E7AFE">
              <w:rPr>
                <w:rFonts w:ascii="Calibri" w:hAnsi="Calibri"/>
                <w:i/>
                <w:color w:val="000000" w:themeColor="text1"/>
                <w:sz w:val="20"/>
                <w:vertAlign w:val="superscript"/>
              </w:rPr>
              <w:t>1</w:t>
            </w:r>
            <w:r w:rsidRPr="001E7AFE">
              <w:rPr>
                <w:rFonts w:ascii="Calibri" w:hAnsi="Calibri"/>
                <w:color w:val="000000" w:themeColor="text1"/>
                <w:sz w:val="20"/>
              </w:rPr>
              <w:t>n (%)</w:t>
            </w:r>
          </w:p>
        </w:tc>
      </w:tr>
    </w:tbl>
    <w:tbl>
      <w:tblPr>
        <w:tblStyle w:val="Table"/>
        <w:tblW w:w="5000" w:type="pct"/>
        <w:tblLayout w:type="fixed"/>
        <w:tblLook w:val="0020" w:firstRow="1" w:lastRow="0" w:firstColumn="0" w:lastColumn="0" w:noHBand="0" w:noVBand="0"/>
      </w:tblPr>
      <w:tblGrid>
        <w:gridCol w:w="9360"/>
      </w:tblGrid>
      <w:tr w:rsidR="00EC6BB5" w:rsidRPr="001E7AFE" w14:paraId="0D405D13" w14:textId="77777777" w:rsidTr="001E7AFE">
        <w:trPr>
          <w:cnfStyle w:val="100000000000" w:firstRow="1" w:lastRow="0" w:firstColumn="0" w:lastColumn="0" w:oddVBand="0" w:evenVBand="0" w:oddHBand="0" w:evenHBand="0" w:firstRowFirstColumn="0" w:firstRowLastColumn="0" w:lastRowFirstColumn="0" w:lastRowLastColumn="0"/>
        </w:trPr>
        <w:tc>
          <w:tcPr>
            <w:tcW w:w="9360" w:type="dxa"/>
          </w:tcPr>
          <w:bookmarkEnd w:id="2"/>
          <w:bookmarkEnd w:id="11"/>
          <w:bookmarkEnd w:id="41"/>
          <w:p w14:paraId="66EC2B27" w14:textId="013E639D" w:rsidR="00EC6BB5" w:rsidRPr="001E7AFE" w:rsidRDefault="00EC6BB5" w:rsidP="00725EFB">
            <w:pPr>
              <w:pStyle w:val="ImageCaption"/>
              <w:spacing w:before="200"/>
              <w:rPr>
                <w:color w:val="000000" w:themeColor="text1"/>
              </w:rPr>
            </w:pPr>
            <w:r w:rsidRPr="001E7AFE">
              <w:rPr>
                <w:color w:val="000000" w:themeColor="text1"/>
              </w:rPr>
              <w:t>Table 10: Counts of sec</w:t>
            </w:r>
            <w:r w:rsidR="00857CA7" w:rsidRPr="001E7AFE">
              <w:rPr>
                <w:color w:val="000000" w:themeColor="text1"/>
              </w:rPr>
              <w:t>ond-line treatments after trastuzumab-based first</w:t>
            </w:r>
            <w:r w:rsidR="004D5838" w:rsidRPr="001E7AFE">
              <w:rPr>
                <w:color w:val="000000" w:themeColor="text1"/>
              </w:rPr>
              <w:t>-</w:t>
            </w:r>
            <w:r w:rsidR="00857CA7" w:rsidRPr="001E7AFE">
              <w:rPr>
                <w:color w:val="000000" w:themeColor="text1"/>
              </w:rPr>
              <w:t>line treatment</w:t>
            </w:r>
            <w:r w:rsidRPr="001E7AFE">
              <w:rPr>
                <w:color w:val="000000" w:themeColor="text1"/>
              </w:rPr>
              <w:t xml:space="preserve"> </w:t>
            </w:r>
          </w:p>
        </w:tc>
      </w:tr>
    </w:tbl>
    <w:p w14:paraId="2312A2E8" w14:textId="77777777" w:rsidR="00EC6BB5" w:rsidRPr="001E7AFE" w:rsidRDefault="00EC6BB5">
      <w:pPr>
        <w:rPr>
          <w:color w:val="000000" w:themeColor="text1"/>
        </w:rPr>
      </w:pPr>
    </w:p>
    <w:sectPr w:rsidR="00EC6BB5" w:rsidRPr="001E7AFE">
      <w:headerReference w:type="default" r:id="rId25"/>
      <w:footerReference w:type="default" r:id="rId2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2638C" w14:textId="77777777" w:rsidR="00D60376" w:rsidRDefault="00D60376">
      <w:pPr>
        <w:spacing w:after="0"/>
      </w:pPr>
      <w:r>
        <w:separator/>
      </w:r>
    </w:p>
  </w:endnote>
  <w:endnote w:type="continuationSeparator" w:id="0">
    <w:p w14:paraId="7C2AE005" w14:textId="77777777" w:rsidR="00D60376" w:rsidRDefault="00D603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D1A2" w14:textId="77777777" w:rsidR="00E365A2" w:rsidRDefault="007517DE" w:rsidP="007517DE">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A7D35" w14:textId="77777777" w:rsidR="00D60376" w:rsidRDefault="00D60376">
      <w:pPr>
        <w:spacing w:after="0"/>
      </w:pPr>
      <w:r>
        <w:separator/>
      </w:r>
    </w:p>
  </w:footnote>
  <w:footnote w:type="continuationSeparator" w:id="0">
    <w:p w14:paraId="5EE5A9BC" w14:textId="77777777" w:rsidR="00D60376" w:rsidRDefault="00D60376">
      <w:pPr>
        <w:spacing w:after="0"/>
      </w:pPr>
      <w:r>
        <w:continuationSeparator/>
      </w:r>
    </w:p>
  </w:footnote>
  <w:footnote w:id="1">
    <w:p w14:paraId="0557D1A7" w14:textId="77777777" w:rsidR="0076063B" w:rsidRDefault="004D5838">
      <w:pPr>
        <w:pStyle w:val="FootnoteText"/>
      </w:pPr>
      <w:r>
        <w:rPr>
          <w:rStyle w:val="FootnoteReference"/>
        </w:rPr>
        <w:footnoteRef/>
      </w:r>
      <w:r>
        <w:t xml:space="preserve"> Chloe J. Bright et al., “Data Resource Profile: The Systemic Anti-Cancer Therapy (SACT) dataset,” </w:t>
      </w:r>
      <w:r>
        <w:rPr>
          <w:i/>
          <w:iCs/>
        </w:rPr>
        <w:t>International Journal of Epidemiology</w:t>
      </w:r>
      <w:r>
        <w:t xml:space="preserve"> 49, no. 1 (February 2020): 15–15l, </w:t>
      </w:r>
      <w:hyperlink r:id="rId1">
        <w:r>
          <w:rPr>
            <w:rStyle w:val="Hyperlink"/>
          </w:rPr>
          <w:t>https://dx.doi.org/10.1093/ije/dyz137</w:t>
        </w:r>
      </w:hyperlink>
      <w:r>
        <w:t>.</w:t>
      </w:r>
    </w:p>
  </w:footnote>
  <w:footnote w:id="2">
    <w:p w14:paraId="0557D1A8" w14:textId="77777777" w:rsidR="0076063B" w:rsidRDefault="004D5838">
      <w:pPr>
        <w:pStyle w:val="FootnoteText"/>
      </w:pPr>
      <w:r>
        <w:rPr>
          <w:rStyle w:val="FootnoteReference"/>
        </w:rPr>
        <w:footnoteRef/>
      </w:r>
      <w:r>
        <w:t xml:space="preserve"> </w:t>
      </w:r>
      <w:r>
        <w:rPr>
          <w:i/>
          <w:iCs/>
        </w:rPr>
        <w:t>NICE health technology evaluations: the manual (2025) NICE process and methods PMG36. Last updated 23 October 2025</w:t>
      </w:r>
      <w:r>
        <w:t xml:space="preserve">, n.d., </w:t>
      </w:r>
      <w:hyperlink r:id="rId2">
        <w:r w:rsidRPr="001E7AFE">
          <w:rPr>
            <w:rStyle w:val="Hyperlink"/>
            <w:color w:val="auto"/>
          </w:rPr>
          <w:t>https://www.nice.org.uk/process/pmg36</w:t>
        </w:r>
      </w:hyperlink>
      <w:r>
        <w:t>.</w:t>
      </w:r>
    </w:p>
  </w:footnote>
  <w:footnote w:id="3">
    <w:p w14:paraId="0557D1A9" w14:textId="77777777" w:rsidR="0076063B" w:rsidRDefault="004D5838">
      <w:pPr>
        <w:pStyle w:val="FootnoteText"/>
      </w:pPr>
      <w:r>
        <w:rPr>
          <w:rStyle w:val="FootnoteReference"/>
        </w:rPr>
        <w:footnoteRef/>
      </w:r>
      <w:r>
        <w:t xml:space="preserve"> Latimer Nicholas, </w:t>
      </w:r>
      <w:r>
        <w:rPr>
          <w:i/>
          <w:iCs/>
        </w:rPr>
        <w:t>NICE DSU Technical Support Document 14: Undertaking survival analysis for economic evaluations alongside clinical trials - extrapolation with patient-level data</w:t>
      </w:r>
      <w:r>
        <w:t xml:space="preserve">, 2011, </w:t>
      </w:r>
      <w:hyperlink r:id="rId3">
        <w:r w:rsidRPr="001E7AFE">
          <w:rPr>
            <w:rStyle w:val="Hyperlink"/>
            <w:color w:val="auto"/>
          </w:rPr>
          <w:t>http://www.nicedsu.org.uk/</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D1A1" w14:textId="77777777" w:rsidR="00FC2CEC" w:rsidRDefault="00FC2CEC">
    <w:pPr>
      <w:pStyle w:val="Header"/>
    </w:pPr>
    <w:r w:rsidRPr="000E748E">
      <w:rPr>
        <w:noProof/>
      </w:rPr>
      <w:drawing>
        <wp:anchor distT="0" distB="0" distL="114300" distR="114300" simplePos="0" relativeHeight="251661312" behindDoc="1" locked="0" layoutInCell="1" allowOverlap="1" wp14:anchorId="0557D1A3" wp14:editId="0557D1A4">
          <wp:simplePos x="0" y="0"/>
          <wp:positionH relativeFrom="column">
            <wp:posOffset>4340225</wp:posOffset>
          </wp:positionH>
          <wp:positionV relativeFrom="paragraph">
            <wp:posOffset>-117475</wp:posOffset>
          </wp:positionV>
          <wp:extent cx="1590675" cy="534319"/>
          <wp:effectExtent l="0" t="0" r="0" b="0"/>
          <wp:wrapTight wrapText="bothSides">
            <wp:wrapPolygon edited="0">
              <wp:start x="0" y="0"/>
              <wp:lineTo x="0" y="20804"/>
              <wp:lineTo x="21212" y="20804"/>
              <wp:lineTo x="21212" y="0"/>
              <wp:lineTo x="0" y="0"/>
            </wp:wrapPolygon>
          </wp:wrapTight>
          <wp:docPr id="39873729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737293"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534319"/>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0557D1A5" wp14:editId="0557D1A6">
          <wp:simplePos x="0" y="0"/>
          <wp:positionH relativeFrom="margin">
            <wp:posOffset>0</wp:posOffset>
          </wp:positionH>
          <wp:positionV relativeFrom="topMargin">
            <wp:posOffset>457200</wp:posOffset>
          </wp:positionV>
          <wp:extent cx="2444400" cy="2520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444400" cy="2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8E9A8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F12F5E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1AE6F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69A17D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51C0D5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3CC42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0CA32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788A82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04087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4C0F8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F5984D1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1" w15:restartNumberingAfterBreak="0">
    <w:nsid w:val="0000A991"/>
    <w:multiLevelType w:val="multilevel"/>
    <w:tmpl w:val="655012FE"/>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126389124">
    <w:abstractNumId w:val="10"/>
  </w:num>
  <w:num w:numId="2" w16cid:durableId="1085616903">
    <w:abstractNumId w:val="11"/>
  </w:num>
  <w:num w:numId="3" w16cid:durableId="323628995">
    <w:abstractNumId w:val="11"/>
  </w:num>
  <w:num w:numId="4" w16cid:durableId="1691493126">
    <w:abstractNumId w:val="9"/>
  </w:num>
  <w:num w:numId="5" w16cid:durableId="1004942455">
    <w:abstractNumId w:val="7"/>
  </w:num>
  <w:num w:numId="6" w16cid:durableId="2066373257">
    <w:abstractNumId w:val="6"/>
  </w:num>
  <w:num w:numId="7" w16cid:durableId="620068494">
    <w:abstractNumId w:val="5"/>
  </w:num>
  <w:num w:numId="8" w16cid:durableId="1753578916">
    <w:abstractNumId w:val="4"/>
  </w:num>
  <w:num w:numId="9" w16cid:durableId="1044331384">
    <w:abstractNumId w:val="8"/>
  </w:num>
  <w:num w:numId="10" w16cid:durableId="2098357689">
    <w:abstractNumId w:val="3"/>
  </w:num>
  <w:num w:numId="11" w16cid:durableId="1892958354">
    <w:abstractNumId w:val="2"/>
  </w:num>
  <w:num w:numId="12" w16cid:durableId="1202130505">
    <w:abstractNumId w:val="1"/>
  </w:num>
  <w:num w:numId="13" w16cid:durableId="984317019">
    <w:abstractNumId w:val="0"/>
  </w:num>
  <w:num w:numId="14" w16cid:durableId="2064908632">
    <w:abstractNumId w:val="10"/>
  </w:num>
  <w:num w:numId="15" w16cid:durableId="631832650">
    <w:abstractNumId w:val="11"/>
  </w:num>
  <w:num w:numId="16" w16cid:durableId="2091461704">
    <w:abstractNumId w:val="11"/>
  </w:num>
  <w:num w:numId="17" w16cid:durableId="258176808">
    <w:abstractNumId w:val="11"/>
  </w:num>
  <w:num w:numId="18" w16cid:durableId="12506950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32B"/>
    <w:rsid w:val="0002132B"/>
    <w:rsid w:val="000579B6"/>
    <w:rsid w:val="00076A09"/>
    <w:rsid w:val="000930EB"/>
    <w:rsid w:val="000A65A1"/>
    <w:rsid w:val="000E324B"/>
    <w:rsid w:val="00133BDE"/>
    <w:rsid w:val="001437CD"/>
    <w:rsid w:val="00162893"/>
    <w:rsid w:val="00180C83"/>
    <w:rsid w:val="001B4ACE"/>
    <w:rsid w:val="001D6B0D"/>
    <w:rsid w:val="001D721E"/>
    <w:rsid w:val="001D7A08"/>
    <w:rsid w:val="001E7AFE"/>
    <w:rsid w:val="0020680D"/>
    <w:rsid w:val="00231969"/>
    <w:rsid w:val="002703C1"/>
    <w:rsid w:val="00396F6C"/>
    <w:rsid w:val="003A4738"/>
    <w:rsid w:val="004A4886"/>
    <w:rsid w:val="004D5838"/>
    <w:rsid w:val="005336C4"/>
    <w:rsid w:val="005630DB"/>
    <w:rsid w:val="005677F5"/>
    <w:rsid w:val="0057347D"/>
    <w:rsid w:val="005827D7"/>
    <w:rsid w:val="005B2F46"/>
    <w:rsid w:val="005D6918"/>
    <w:rsid w:val="006D66D9"/>
    <w:rsid w:val="006F3A88"/>
    <w:rsid w:val="007517DE"/>
    <w:rsid w:val="0076063B"/>
    <w:rsid w:val="007656B1"/>
    <w:rsid w:val="007658D0"/>
    <w:rsid w:val="007C36D8"/>
    <w:rsid w:val="007F1A03"/>
    <w:rsid w:val="00836486"/>
    <w:rsid w:val="00857CA7"/>
    <w:rsid w:val="008A51FA"/>
    <w:rsid w:val="009064D3"/>
    <w:rsid w:val="009168DE"/>
    <w:rsid w:val="00977D1D"/>
    <w:rsid w:val="009849B1"/>
    <w:rsid w:val="00990985"/>
    <w:rsid w:val="00A31FF9"/>
    <w:rsid w:val="00AC5616"/>
    <w:rsid w:val="00B02D68"/>
    <w:rsid w:val="00B74C36"/>
    <w:rsid w:val="00BA6723"/>
    <w:rsid w:val="00C33563"/>
    <w:rsid w:val="00C713F3"/>
    <w:rsid w:val="00C84027"/>
    <w:rsid w:val="00CB10C8"/>
    <w:rsid w:val="00CD1EC3"/>
    <w:rsid w:val="00CF6D00"/>
    <w:rsid w:val="00D41C3E"/>
    <w:rsid w:val="00D44DA3"/>
    <w:rsid w:val="00D60376"/>
    <w:rsid w:val="00E236D1"/>
    <w:rsid w:val="00E365A2"/>
    <w:rsid w:val="00E41380"/>
    <w:rsid w:val="00EB0F7C"/>
    <w:rsid w:val="00EC6BB5"/>
    <w:rsid w:val="00F307DB"/>
    <w:rsid w:val="00F50627"/>
    <w:rsid w:val="00F757DE"/>
    <w:rsid w:val="00FC2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7D020"/>
  <w15:docId w15:val="{B71FE6CB-D1AB-46A6-84B4-B04514722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rsid w:val="00CB10C8"/>
    <w:pPr>
      <w:keepNext/>
      <w:keepLines/>
      <w:spacing w:before="480" w:after="0"/>
      <w:jc w:val="center"/>
      <w:outlineLvl w:val="0"/>
    </w:pPr>
    <w:rPr>
      <w:rFonts w:asciiTheme="majorHAnsi" w:eastAsiaTheme="majorEastAsia" w:hAnsiTheme="majorHAnsi" w:cstheme="majorBidi"/>
      <w:b/>
      <w:bCs/>
      <w:color w:val="4F81BD" w:themeColor="accent1"/>
      <w:sz w:val="36"/>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1F3F5"/>
      <w:wordWrap w:val="0"/>
    </w:pPr>
  </w:style>
  <w:style w:type="character" w:customStyle="1" w:styleId="KeywordTok">
    <w:name w:val="KeywordTok"/>
    <w:basedOn w:val="VerbatimChar"/>
    <w:rPr>
      <w:rFonts w:ascii="Consolas" w:hAnsi="Consolas"/>
      <w:color w:val="003B4F"/>
      <w:sz w:val="22"/>
      <w:shd w:val="clear" w:color="auto" w:fill="F1F3F5"/>
    </w:rPr>
  </w:style>
  <w:style w:type="character" w:customStyle="1" w:styleId="DataTypeTok">
    <w:name w:val="DataTypeTok"/>
    <w:basedOn w:val="VerbatimChar"/>
    <w:rPr>
      <w:rFonts w:ascii="Consolas" w:hAnsi="Consolas"/>
      <w:color w:val="AD0000"/>
      <w:sz w:val="22"/>
      <w:shd w:val="clear" w:color="auto" w:fill="F1F3F5"/>
    </w:rPr>
  </w:style>
  <w:style w:type="character" w:customStyle="1" w:styleId="DecValTok">
    <w:name w:val="DecValTok"/>
    <w:basedOn w:val="VerbatimChar"/>
    <w:rPr>
      <w:rFonts w:ascii="Consolas" w:hAnsi="Consolas"/>
      <w:color w:val="AD0000"/>
      <w:sz w:val="22"/>
      <w:shd w:val="clear" w:color="auto" w:fill="F1F3F5"/>
    </w:rPr>
  </w:style>
  <w:style w:type="character" w:customStyle="1" w:styleId="BaseNTok">
    <w:name w:val="BaseNTok"/>
    <w:basedOn w:val="VerbatimChar"/>
    <w:rPr>
      <w:rFonts w:ascii="Consolas" w:hAnsi="Consolas"/>
      <w:color w:val="AD0000"/>
      <w:sz w:val="22"/>
      <w:shd w:val="clear" w:color="auto" w:fill="F1F3F5"/>
    </w:rPr>
  </w:style>
  <w:style w:type="character" w:customStyle="1" w:styleId="FloatTok">
    <w:name w:val="FloatTok"/>
    <w:basedOn w:val="VerbatimChar"/>
    <w:rPr>
      <w:rFonts w:ascii="Consolas" w:hAnsi="Consolas"/>
      <w:color w:val="AD0000"/>
      <w:sz w:val="22"/>
      <w:shd w:val="clear" w:color="auto" w:fill="F1F3F5"/>
    </w:rPr>
  </w:style>
  <w:style w:type="character" w:customStyle="1" w:styleId="ConstantTok">
    <w:name w:val="ConstantTok"/>
    <w:basedOn w:val="VerbatimChar"/>
    <w:rPr>
      <w:rFonts w:ascii="Consolas" w:hAnsi="Consolas"/>
      <w:color w:val="8F5902"/>
      <w:sz w:val="22"/>
      <w:shd w:val="clear" w:color="auto" w:fill="F1F3F5"/>
    </w:rPr>
  </w:style>
  <w:style w:type="character" w:customStyle="1" w:styleId="CharTok">
    <w:name w:val="CharTok"/>
    <w:basedOn w:val="VerbatimChar"/>
    <w:rPr>
      <w:rFonts w:ascii="Consolas" w:hAnsi="Consolas"/>
      <w:color w:val="20794D"/>
      <w:sz w:val="22"/>
      <w:shd w:val="clear" w:color="auto" w:fill="F1F3F5"/>
    </w:rPr>
  </w:style>
  <w:style w:type="character" w:customStyle="1" w:styleId="SpecialCharTok">
    <w:name w:val="SpecialCharTok"/>
    <w:basedOn w:val="VerbatimChar"/>
    <w:rPr>
      <w:rFonts w:ascii="Consolas" w:hAnsi="Consolas"/>
      <w:color w:val="5E5E5E"/>
      <w:sz w:val="22"/>
      <w:shd w:val="clear" w:color="auto" w:fill="F1F3F5"/>
    </w:rPr>
  </w:style>
  <w:style w:type="character" w:customStyle="1" w:styleId="StringTok">
    <w:name w:val="StringTok"/>
    <w:basedOn w:val="VerbatimChar"/>
    <w:rPr>
      <w:rFonts w:ascii="Consolas" w:hAnsi="Consolas"/>
      <w:color w:val="20794D"/>
      <w:sz w:val="22"/>
      <w:shd w:val="clear" w:color="auto" w:fill="F1F3F5"/>
    </w:rPr>
  </w:style>
  <w:style w:type="character" w:customStyle="1" w:styleId="VerbatimStringTok">
    <w:name w:val="VerbatimStringTok"/>
    <w:basedOn w:val="VerbatimChar"/>
    <w:rPr>
      <w:rFonts w:ascii="Consolas" w:hAnsi="Consolas"/>
      <w:color w:val="20794D"/>
      <w:sz w:val="22"/>
      <w:shd w:val="clear" w:color="auto" w:fill="F1F3F5"/>
    </w:rPr>
  </w:style>
  <w:style w:type="character" w:customStyle="1" w:styleId="SpecialStringTok">
    <w:name w:val="SpecialStringTok"/>
    <w:basedOn w:val="VerbatimChar"/>
    <w:rPr>
      <w:rFonts w:ascii="Consolas" w:hAnsi="Consolas"/>
      <w:color w:val="20794D"/>
      <w:sz w:val="22"/>
      <w:shd w:val="clear" w:color="auto" w:fill="F1F3F5"/>
    </w:rPr>
  </w:style>
  <w:style w:type="character" w:customStyle="1" w:styleId="ImportTok">
    <w:name w:val="ImportTok"/>
    <w:basedOn w:val="VerbatimChar"/>
    <w:rPr>
      <w:rFonts w:ascii="Consolas" w:hAnsi="Consolas"/>
      <w:color w:val="00769E"/>
      <w:sz w:val="22"/>
      <w:shd w:val="clear" w:color="auto" w:fill="F1F3F5"/>
    </w:rPr>
  </w:style>
  <w:style w:type="character" w:customStyle="1" w:styleId="CommentTok">
    <w:name w:val="CommentTok"/>
    <w:basedOn w:val="VerbatimChar"/>
    <w:rPr>
      <w:rFonts w:ascii="Consolas" w:hAnsi="Consolas"/>
      <w:color w:val="5E5E5E"/>
      <w:sz w:val="22"/>
      <w:shd w:val="clear" w:color="auto" w:fill="F1F3F5"/>
    </w:rPr>
  </w:style>
  <w:style w:type="character" w:customStyle="1" w:styleId="DocumentationTok">
    <w:name w:val="DocumentationTok"/>
    <w:basedOn w:val="VerbatimChar"/>
    <w:rPr>
      <w:rFonts w:ascii="Consolas" w:hAnsi="Consolas"/>
      <w:i/>
      <w:color w:val="5E5E5E"/>
      <w:sz w:val="22"/>
      <w:shd w:val="clear" w:color="auto" w:fill="F1F3F5"/>
    </w:rPr>
  </w:style>
  <w:style w:type="character" w:customStyle="1" w:styleId="AnnotationTok">
    <w:name w:val="AnnotationTok"/>
    <w:basedOn w:val="VerbatimChar"/>
    <w:rPr>
      <w:rFonts w:ascii="Consolas" w:hAnsi="Consolas"/>
      <w:color w:val="5E5E5E"/>
      <w:sz w:val="22"/>
      <w:shd w:val="clear" w:color="auto" w:fill="F1F3F5"/>
    </w:rPr>
  </w:style>
  <w:style w:type="character" w:customStyle="1" w:styleId="CommentVarTok">
    <w:name w:val="CommentVarTok"/>
    <w:basedOn w:val="VerbatimChar"/>
    <w:rPr>
      <w:rFonts w:ascii="Consolas" w:hAnsi="Consolas"/>
      <w:i/>
      <w:color w:val="5E5E5E"/>
      <w:sz w:val="22"/>
      <w:shd w:val="clear" w:color="auto" w:fill="F1F3F5"/>
    </w:rPr>
  </w:style>
  <w:style w:type="character" w:customStyle="1" w:styleId="OtherTok">
    <w:name w:val="OtherTok"/>
    <w:basedOn w:val="VerbatimChar"/>
    <w:rPr>
      <w:rFonts w:ascii="Consolas" w:hAnsi="Consolas"/>
      <w:color w:val="003B4F"/>
      <w:sz w:val="22"/>
      <w:shd w:val="clear" w:color="auto" w:fill="F1F3F5"/>
    </w:rPr>
  </w:style>
  <w:style w:type="character" w:customStyle="1" w:styleId="FunctionTok">
    <w:name w:val="FunctionTok"/>
    <w:basedOn w:val="VerbatimChar"/>
    <w:rPr>
      <w:rFonts w:ascii="Consolas" w:hAnsi="Consolas"/>
      <w:color w:val="4758AB"/>
      <w:sz w:val="22"/>
      <w:shd w:val="clear" w:color="auto" w:fill="F1F3F5"/>
    </w:rPr>
  </w:style>
  <w:style w:type="character" w:customStyle="1" w:styleId="VariableTok">
    <w:name w:val="VariableTok"/>
    <w:basedOn w:val="VerbatimChar"/>
    <w:rPr>
      <w:rFonts w:ascii="Consolas" w:hAnsi="Consolas"/>
      <w:color w:val="111111"/>
      <w:sz w:val="22"/>
      <w:shd w:val="clear" w:color="auto" w:fill="F1F3F5"/>
    </w:rPr>
  </w:style>
  <w:style w:type="character" w:customStyle="1" w:styleId="ControlFlowTok">
    <w:name w:val="ControlFlowTok"/>
    <w:basedOn w:val="VerbatimChar"/>
    <w:rPr>
      <w:rFonts w:ascii="Consolas" w:hAnsi="Consolas"/>
      <w:color w:val="003B4F"/>
      <w:sz w:val="22"/>
      <w:shd w:val="clear" w:color="auto" w:fill="F1F3F5"/>
    </w:rPr>
  </w:style>
  <w:style w:type="character" w:customStyle="1" w:styleId="OperatorTok">
    <w:name w:val="OperatorTok"/>
    <w:basedOn w:val="VerbatimChar"/>
    <w:rPr>
      <w:rFonts w:ascii="Consolas" w:hAnsi="Consolas"/>
      <w:color w:val="5E5E5E"/>
      <w:sz w:val="22"/>
      <w:shd w:val="clear" w:color="auto" w:fill="F1F3F5"/>
    </w:rPr>
  </w:style>
  <w:style w:type="character" w:customStyle="1" w:styleId="BuiltInTok">
    <w:name w:val="BuiltInTok"/>
    <w:basedOn w:val="VerbatimChar"/>
    <w:rPr>
      <w:rFonts w:ascii="Consolas" w:hAnsi="Consolas"/>
      <w:color w:val="003B4F"/>
      <w:sz w:val="22"/>
      <w:shd w:val="clear" w:color="auto" w:fill="F1F3F5"/>
    </w:rPr>
  </w:style>
  <w:style w:type="character" w:customStyle="1" w:styleId="ExtensionTok">
    <w:name w:val="ExtensionTok"/>
    <w:basedOn w:val="VerbatimChar"/>
    <w:rPr>
      <w:rFonts w:ascii="Consolas" w:hAnsi="Consolas"/>
      <w:color w:val="003B4F"/>
      <w:sz w:val="22"/>
      <w:shd w:val="clear" w:color="auto" w:fill="F1F3F5"/>
    </w:rPr>
  </w:style>
  <w:style w:type="character" w:customStyle="1" w:styleId="PreprocessorTok">
    <w:name w:val="PreprocessorTok"/>
    <w:basedOn w:val="VerbatimChar"/>
    <w:rPr>
      <w:rFonts w:ascii="Consolas" w:hAnsi="Consolas"/>
      <w:color w:val="AD0000"/>
      <w:sz w:val="22"/>
      <w:shd w:val="clear" w:color="auto" w:fill="F1F3F5"/>
    </w:rPr>
  </w:style>
  <w:style w:type="character" w:customStyle="1" w:styleId="AttributeTok">
    <w:name w:val="AttributeTok"/>
    <w:basedOn w:val="VerbatimChar"/>
    <w:rPr>
      <w:rFonts w:ascii="Consolas" w:hAnsi="Consolas"/>
      <w:color w:val="657422"/>
      <w:sz w:val="22"/>
      <w:shd w:val="clear" w:color="auto" w:fill="F1F3F5"/>
    </w:rPr>
  </w:style>
  <w:style w:type="character" w:customStyle="1" w:styleId="RegionMarkerTok">
    <w:name w:val="RegionMarkerTok"/>
    <w:basedOn w:val="VerbatimChar"/>
    <w:rPr>
      <w:rFonts w:ascii="Consolas" w:hAnsi="Consolas"/>
      <w:color w:val="003B4F"/>
      <w:sz w:val="22"/>
      <w:shd w:val="clear" w:color="auto" w:fill="F1F3F5"/>
    </w:rPr>
  </w:style>
  <w:style w:type="character" w:customStyle="1" w:styleId="InformationTok">
    <w:name w:val="InformationTok"/>
    <w:basedOn w:val="VerbatimChar"/>
    <w:rPr>
      <w:rFonts w:ascii="Consolas" w:hAnsi="Consolas"/>
      <w:color w:val="5E5E5E"/>
      <w:sz w:val="22"/>
      <w:shd w:val="clear" w:color="auto" w:fill="F1F3F5"/>
    </w:rPr>
  </w:style>
  <w:style w:type="character" w:customStyle="1" w:styleId="WarningTok">
    <w:name w:val="WarningTok"/>
    <w:basedOn w:val="VerbatimChar"/>
    <w:rPr>
      <w:rFonts w:ascii="Consolas" w:hAnsi="Consolas"/>
      <w:i/>
      <w:color w:val="5E5E5E"/>
      <w:sz w:val="22"/>
      <w:shd w:val="clear" w:color="auto" w:fill="F1F3F5"/>
    </w:rPr>
  </w:style>
  <w:style w:type="character" w:customStyle="1" w:styleId="AlertTok">
    <w:name w:val="AlertTok"/>
    <w:basedOn w:val="VerbatimChar"/>
    <w:rPr>
      <w:rFonts w:ascii="Consolas" w:hAnsi="Consolas"/>
      <w:color w:val="AD0000"/>
      <w:sz w:val="22"/>
      <w:shd w:val="clear" w:color="auto" w:fill="F1F3F5"/>
    </w:rPr>
  </w:style>
  <w:style w:type="character" w:customStyle="1" w:styleId="ErrorTok">
    <w:name w:val="ErrorTok"/>
    <w:basedOn w:val="VerbatimChar"/>
    <w:rPr>
      <w:rFonts w:ascii="Consolas" w:hAnsi="Consolas"/>
      <w:color w:val="AD0000"/>
      <w:sz w:val="22"/>
      <w:shd w:val="clear" w:color="auto" w:fill="F1F3F5"/>
    </w:rPr>
  </w:style>
  <w:style w:type="character" w:customStyle="1" w:styleId="NormalTok">
    <w:name w:val="NormalTok"/>
    <w:basedOn w:val="VerbatimChar"/>
    <w:rPr>
      <w:rFonts w:ascii="Consolas" w:hAnsi="Consolas"/>
      <w:color w:val="003B4F"/>
      <w:sz w:val="22"/>
      <w:shd w:val="clear" w:color="auto" w:fill="F1F3F5"/>
    </w:rPr>
  </w:style>
  <w:style w:type="paragraph" w:styleId="Header">
    <w:name w:val="header"/>
    <w:basedOn w:val="Normal"/>
    <w:link w:val="HeaderChar"/>
    <w:rsid w:val="00FC2CEC"/>
    <w:pPr>
      <w:tabs>
        <w:tab w:val="center" w:pos="4513"/>
        <w:tab w:val="right" w:pos="9026"/>
      </w:tabs>
      <w:spacing w:after="0"/>
    </w:pPr>
  </w:style>
  <w:style w:type="character" w:customStyle="1" w:styleId="HeaderChar">
    <w:name w:val="Header Char"/>
    <w:basedOn w:val="DefaultParagraphFont"/>
    <w:link w:val="Header"/>
    <w:rsid w:val="00FC2CEC"/>
  </w:style>
  <w:style w:type="paragraph" w:styleId="Footer">
    <w:name w:val="footer"/>
    <w:basedOn w:val="Normal"/>
    <w:link w:val="FooterChar"/>
    <w:rsid w:val="00FC2CEC"/>
    <w:pPr>
      <w:tabs>
        <w:tab w:val="center" w:pos="4513"/>
        <w:tab w:val="right" w:pos="9026"/>
      </w:tabs>
      <w:spacing w:after="0"/>
    </w:pPr>
  </w:style>
  <w:style w:type="character" w:customStyle="1" w:styleId="FooterChar">
    <w:name w:val="Footer Char"/>
    <w:basedOn w:val="DefaultParagraphFont"/>
    <w:link w:val="Footer"/>
    <w:rsid w:val="00FC2CEC"/>
  </w:style>
  <w:style w:type="character" w:customStyle="1" w:styleId="BodyTextChar">
    <w:name w:val="Body Text Char"/>
    <w:basedOn w:val="DefaultParagraphFont"/>
    <w:link w:val="BodyText"/>
    <w:rsid w:val="00CB10C8"/>
  </w:style>
  <w:style w:type="character" w:styleId="CommentReference">
    <w:name w:val="annotation reference"/>
    <w:basedOn w:val="DefaultParagraphFont"/>
    <w:rsid w:val="009849B1"/>
    <w:rPr>
      <w:sz w:val="16"/>
      <w:szCs w:val="16"/>
    </w:rPr>
  </w:style>
  <w:style w:type="paragraph" w:styleId="CommentText">
    <w:name w:val="annotation text"/>
    <w:basedOn w:val="Normal"/>
    <w:link w:val="CommentTextChar"/>
    <w:rsid w:val="009849B1"/>
    <w:rPr>
      <w:sz w:val="20"/>
      <w:szCs w:val="20"/>
    </w:rPr>
  </w:style>
  <w:style w:type="character" w:customStyle="1" w:styleId="CommentTextChar">
    <w:name w:val="Comment Text Char"/>
    <w:basedOn w:val="DefaultParagraphFont"/>
    <w:link w:val="CommentText"/>
    <w:rsid w:val="009849B1"/>
    <w:rPr>
      <w:sz w:val="20"/>
      <w:szCs w:val="20"/>
    </w:rPr>
  </w:style>
  <w:style w:type="paragraph" w:styleId="CommentSubject">
    <w:name w:val="annotation subject"/>
    <w:basedOn w:val="CommentText"/>
    <w:next w:val="CommentText"/>
    <w:link w:val="CommentSubjectChar"/>
    <w:rsid w:val="009849B1"/>
    <w:rPr>
      <w:b/>
      <w:bCs/>
    </w:rPr>
  </w:style>
  <w:style w:type="character" w:customStyle="1" w:styleId="CommentSubjectChar">
    <w:name w:val="Comment Subject Char"/>
    <w:basedOn w:val="CommentTextChar"/>
    <w:link w:val="CommentSubject"/>
    <w:rsid w:val="009849B1"/>
    <w:rPr>
      <w:b/>
      <w:bCs/>
      <w:sz w:val="20"/>
      <w:szCs w:val="20"/>
    </w:rPr>
  </w:style>
  <w:style w:type="character" w:styleId="UnresolvedMention">
    <w:name w:val="Unresolved Mention"/>
    <w:basedOn w:val="DefaultParagraphFont"/>
    <w:uiPriority w:val="99"/>
    <w:semiHidden/>
    <w:unhideWhenUsed/>
    <w:rsid w:val="009064D3"/>
    <w:rPr>
      <w:color w:val="605E5C"/>
      <w:shd w:val="clear" w:color="auto" w:fill="E1DFDD"/>
    </w:rPr>
  </w:style>
  <w:style w:type="paragraph" w:styleId="Revision">
    <w:name w:val="Revision"/>
    <w:hidden/>
    <w:rsid w:val="007F1A0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guidance/ta208/chapter/1-Recommendations"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s://nhsd-ndrs.shinyapps.io/get_data_out/"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hsd-ndrs.shinyapps.io/get_data_out/" TargetMode="Externa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nicedsu.org.uk/" TargetMode="External"/><Relationship Id="rId2" Type="http://schemas.openxmlformats.org/officeDocument/2006/relationships/hyperlink" Target="https://www.nice.org.uk/process/pmg36" TargetMode="External"/><Relationship Id="rId1" Type="http://schemas.openxmlformats.org/officeDocument/2006/relationships/hyperlink" Target="https://dx.doi.org/10.1093/ije/dyz137"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23CB2CFF5870459BFB2D78F57472D6" ma:contentTypeVersion="15" ma:contentTypeDescription="Create a new document." ma:contentTypeScope="" ma:versionID="cd5799cbbfa639d442fba2f5434f71b9">
  <xsd:schema xmlns:xsd="http://www.w3.org/2001/XMLSchema" xmlns:xs="http://www.w3.org/2001/XMLSchema" xmlns:p="http://schemas.microsoft.com/office/2006/metadata/properties" xmlns:ns1="http://schemas.microsoft.com/sharepoint/v3" xmlns:ns2="1aadd836-80f1-47a2-9236-7bacc5907cb7" xmlns:ns3="684165cd-842c-43c4-a495-7af445cdea15" targetNamespace="http://schemas.microsoft.com/office/2006/metadata/properties" ma:root="true" ma:fieldsID="4f6337f8995200a8da45c59caf85790e" ns1:_="" ns2:_="" ns3:_="">
    <xsd:import namespace="http://schemas.microsoft.com/sharepoint/v3"/>
    <xsd:import namespace="1aadd836-80f1-47a2-9236-7bacc5907cb7"/>
    <xsd:import namespace="684165cd-842c-43c4-a495-7af445cdea1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add836-80f1-47a2-9236-7bacc5907cb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8a6c7ad-bc9e-47cd-8baa-0cd375ee5e2b}" ma:internalName="TaxCatchAll" ma:showField="CatchAllData" ma:web="1aadd836-80f1-47a2-9236-7bacc5907cb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4165cd-842c-43c4-a495-7af445cdea1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aadd836-80f1-47a2-9236-7bacc5907cb7" xsi:nil="true"/>
    <_ip_UnifiedCompliancePolicyProperties xmlns="http://schemas.microsoft.com/sharepoint/v3" xsi:nil="true"/>
    <lcf76f155ced4ddcb4097134ff3c332f xmlns="684165cd-842c-43c4-a495-7af445cdea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C8A431-D33B-492D-969D-9CBB2681B19E}">
  <ds:schemaRefs>
    <ds:schemaRef ds:uri="http://schemas.microsoft.com/sharepoint/v3/contenttype/forms"/>
  </ds:schemaRefs>
</ds:datastoreItem>
</file>

<file path=customXml/itemProps2.xml><?xml version="1.0" encoding="utf-8"?>
<ds:datastoreItem xmlns:ds="http://schemas.openxmlformats.org/officeDocument/2006/customXml" ds:itemID="{306A2809-5121-4820-BDCA-EC3A2995C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add836-80f1-47a2-9236-7bacc5907cb7"/>
    <ds:schemaRef ds:uri="684165cd-842c-43c4-a495-7af445cde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4C4D23-ECDC-4C79-BDB3-4B9A8266B2D1}">
  <ds:schemaRefs>
    <ds:schemaRef ds:uri="http://schemas.openxmlformats.org/officeDocument/2006/bibliography"/>
  </ds:schemaRefs>
</ds:datastoreItem>
</file>

<file path=customXml/itemProps4.xml><?xml version="1.0" encoding="utf-8"?>
<ds:datastoreItem xmlns:ds="http://schemas.openxmlformats.org/officeDocument/2006/customXml" ds:itemID="{280E350A-5C0D-4E88-ABB9-91CCCC642CA6}">
  <ds:schemaRefs>
    <ds:schemaRef ds:uri="http://schemas.microsoft.com/office/2006/metadata/properties"/>
    <ds:schemaRef ds:uri="http://schemas.microsoft.com/office/infopath/2007/PartnerControls"/>
    <ds:schemaRef ds:uri="http://schemas.microsoft.com/sharepoint/v3"/>
    <ds:schemaRef ds:uri="1aadd836-80f1-47a2-9236-7bacc5907cb7"/>
    <ds:schemaRef ds:uri="684165cd-842c-43c4-a495-7af445cdea15"/>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16</Pages>
  <Words>1794</Words>
  <Characters>10230</Characters>
  <Application>Microsoft Office Word</Application>
  <DocSecurity>4</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THACKRAY, Katherine (NHS ENGLAND)</dc:creator>
  <cp:keywords/>
  <cp:lastModifiedBy>MAKIN, William (NHS ENGLAND)</cp:lastModifiedBy>
  <cp:revision>2</cp:revision>
  <dcterms:created xsi:type="dcterms:W3CDTF">2026-07-17T08:31:00Z</dcterms:created>
  <dcterms:modified xsi:type="dcterms:W3CDTF">2026-07-17T08:31:00Z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ta_refs.bib</vt:lpwstr>
  </property>
  <property fmtid="{D5CDD505-2E9C-101B-9397-08002B2CF9AE}" pid="4" name="csl">
    <vt:lpwstr>chicago-note.csl</vt:lpwstr>
  </property>
  <property fmtid="{D5CDD505-2E9C-101B-9397-08002B2CF9AE}" pid="5" name="execute">
    <vt:lpwstr/>
  </property>
  <property fmtid="{D5CDD505-2E9C-101B-9397-08002B2CF9AE}" pid="6" name="fig-cap-location">
    <vt:lpwstr>bottom</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pagetitle">
    <vt:lpwstr>Age, gender and overall survival in second line treatments for HER2-positive advanced gastric or gastroesophageal junction adenocarcinoma after trastuzumab-based treatment</vt:lpwstr>
  </property>
  <property fmtid="{D5CDD505-2E9C-101B-9397-08002B2CF9AE}" pid="12" name="tbl-cap-location">
    <vt:lpwstr>bottom</vt:lpwstr>
  </property>
  <property fmtid="{D5CDD505-2E9C-101B-9397-08002B2CF9AE}" pid="13" name="toc-title">
    <vt:lpwstr>Table of contents</vt:lpwstr>
  </property>
  <property fmtid="{D5CDD505-2E9C-101B-9397-08002B2CF9AE}" pid="14" name="ContentTypeId">
    <vt:lpwstr>0x0101006E23CB2CFF5870459BFB2D78F57472D6</vt:lpwstr>
  </property>
  <property fmtid="{D5CDD505-2E9C-101B-9397-08002B2CF9AE}" pid="15" name="MediaServiceImageTags">
    <vt:lpwstr/>
  </property>
  <property fmtid="{D5CDD505-2E9C-101B-9397-08002B2CF9AE}" pid="16" name="MSIP_Label_c69d85d5-6d9e-4305-a294-1f636ec0f2d6_Enabled">
    <vt:lpwstr>true</vt:lpwstr>
  </property>
  <property fmtid="{D5CDD505-2E9C-101B-9397-08002B2CF9AE}" pid="17" name="MSIP_Label_c69d85d5-6d9e-4305-a294-1f636ec0f2d6_SetDate">
    <vt:lpwstr>2026-05-20T15:56:15Z</vt:lpwstr>
  </property>
  <property fmtid="{D5CDD505-2E9C-101B-9397-08002B2CF9AE}" pid="18" name="MSIP_Label_c69d85d5-6d9e-4305-a294-1f636ec0f2d6_Method">
    <vt:lpwstr>Standard</vt:lpwstr>
  </property>
  <property fmtid="{D5CDD505-2E9C-101B-9397-08002B2CF9AE}" pid="19" name="MSIP_Label_c69d85d5-6d9e-4305-a294-1f636ec0f2d6_Name">
    <vt:lpwstr>OFFICIAL</vt:lpwstr>
  </property>
  <property fmtid="{D5CDD505-2E9C-101B-9397-08002B2CF9AE}" pid="20" name="MSIP_Label_c69d85d5-6d9e-4305-a294-1f636ec0f2d6_SiteId">
    <vt:lpwstr>6030f479-b342-472d-a5dd-740ff7538de9</vt:lpwstr>
  </property>
  <property fmtid="{D5CDD505-2E9C-101B-9397-08002B2CF9AE}" pid="21" name="MSIP_Label_c69d85d5-6d9e-4305-a294-1f636ec0f2d6_ActionId">
    <vt:lpwstr>391d81f6-7eff-4571-9fef-e43695037098</vt:lpwstr>
  </property>
  <property fmtid="{D5CDD505-2E9C-101B-9397-08002B2CF9AE}" pid="22" name="MSIP_Label_c69d85d5-6d9e-4305-a294-1f636ec0f2d6_ContentBits">
    <vt:lpwstr>0</vt:lpwstr>
  </property>
  <property fmtid="{D5CDD505-2E9C-101B-9397-08002B2CF9AE}" pid="23" name="MSIP_Label_c69d85d5-6d9e-4305-a294-1f636ec0f2d6_Tag">
    <vt:lpwstr>10, 3, 0, 1</vt:lpwstr>
  </property>
</Properties>
</file>